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8CC63E">
      <w:pPr>
        <w:keepNext w:val="0"/>
        <w:keepLines w:val="0"/>
        <w:pageBreakBefore w:val="0"/>
        <w:widowControl/>
        <w:kinsoku/>
        <w:wordWrap/>
        <w:overflowPunct/>
        <w:topLinePunct w:val="0"/>
        <w:autoSpaceDE/>
        <w:autoSpaceDN/>
        <w:bidi w:val="0"/>
        <w:adjustRightInd/>
        <w:snapToGrid/>
        <w:spacing w:after="0" w:line="360" w:lineRule="auto"/>
        <w:jc w:val="center"/>
        <w:textAlignment w:val="baseline"/>
        <w:outlineLvl w:val="0"/>
        <w:rPr>
          <w:rFonts w:hint="eastAsia" w:ascii="宋体" w:hAnsi="宋体" w:eastAsia="宋体" w:cs="宋体"/>
          <w:b/>
          <w:bCs/>
          <w:color w:val="1A2029"/>
          <w:kern w:val="36"/>
          <w:sz w:val="30"/>
          <w:szCs w:val="30"/>
          <w14:ligatures w14:val="none"/>
        </w:rPr>
      </w:pPr>
      <w:r>
        <w:rPr>
          <w:rFonts w:hint="eastAsia" w:ascii="宋体" w:hAnsi="宋体" w:eastAsia="宋体" w:cs="宋体"/>
          <w:b/>
          <w:bCs/>
          <w:color w:val="1A2029"/>
          <w:kern w:val="36"/>
          <w:sz w:val="30"/>
          <w:szCs w:val="30"/>
          <w14:ligatures w14:val="none"/>
        </w:rPr>
        <w:t>年产2000套智慧电源驱动系统建设项目</w:t>
      </w:r>
      <w:r>
        <w:rPr>
          <w:rFonts w:hint="eastAsia" w:ascii="宋体" w:hAnsi="宋体" w:eastAsia="宋体" w:cs="宋体"/>
          <w:b/>
          <w:bCs/>
          <w:color w:val="1A2029"/>
          <w:kern w:val="36"/>
          <w:sz w:val="30"/>
          <w:szCs w:val="30"/>
          <w:lang w:val="en-US" w:eastAsia="zh-CN"/>
          <w14:ligatures w14:val="none"/>
        </w:rPr>
        <w:t>预应力</w:t>
      </w:r>
      <w:r>
        <w:rPr>
          <w:rFonts w:hint="eastAsia" w:ascii="宋体" w:hAnsi="宋体" w:eastAsia="宋体" w:cs="宋体"/>
          <w:b/>
          <w:bCs/>
          <w:color w:val="1A2029"/>
          <w:kern w:val="36"/>
          <w:sz w:val="30"/>
          <w:szCs w:val="30"/>
          <w14:ligatures w14:val="none"/>
        </w:rPr>
        <w:t>管桩施工</w:t>
      </w:r>
    </w:p>
    <w:p w14:paraId="210A1327">
      <w:pPr>
        <w:keepNext w:val="0"/>
        <w:keepLines w:val="0"/>
        <w:pageBreakBefore w:val="0"/>
        <w:widowControl/>
        <w:kinsoku/>
        <w:wordWrap/>
        <w:overflowPunct/>
        <w:topLinePunct w:val="0"/>
        <w:autoSpaceDE/>
        <w:autoSpaceDN/>
        <w:bidi w:val="0"/>
        <w:adjustRightInd/>
        <w:snapToGrid/>
        <w:spacing w:after="0" w:line="360" w:lineRule="auto"/>
        <w:jc w:val="center"/>
        <w:textAlignment w:val="baseline"/>
        <w:outlineLvl w:val="0"/>
        <w:rPr>
          <w:rFonts w:hint="eastAsia" w:ascii="宋体" w:hAnsi="宋体" w:eastAsia="宋体" w:cs="宋体"/>
          <w:b/>
          <w:bCs/>
          <w:color w:val="1A2029"/>
          <w:kern w:val="36"/>
          <w:sz w:val="30"/>
          <w:szCs w:val="30"/>
          <w14:ligatures w14:val="none"/>
        </w:rPr>
      </w:pPr>
      <w:r>
        <w:rPr>
          <w:rFonts w:hint="eastAsia" w:ascii="宋体" w:hAnsi="宋体" w:eastAsia="宋体" w:cs="宋体"/>
          <w:b/>
          <w:bCs/>
          <w:color w:val="1A2029"/>
          <w:kern w:val="36"/>
          <w:sz w:val="30"/>
          <w:szCs w:val="30"/>
          <w14:ligatures w14:val="none"/>
        </w:rPr>
        <w:t>招标文件</w:t>
      </w:r>
    </w:p>
    <w:p w14:paraId="1035AD6B">
      <w:pPr>
        <w:keepNext w:val="0"/>
        <w:keepLines w:val="0"/>
        <w:pageBreakBefore w:val="0"/>
        <w:widowControl/>
        <w:kinsoku/>
        <w:wordWrap/>
        <w:overflowPunct/>
        <w:topLinePunct w:val="0"/>
        <w:autoSpaceDE/>
        <w:autoSpaceDN/>
        <w:bidi w:val="0"/>
        <w:adjustRightInd/>
        <w:snapToGrid/>
        <w:spacing w:after="0" w:line="360" w:lineRule="auto"/>
        <w:jc w:val="center"/>
        <w:textAlignment w:val="baseline"/>
        <w:outlineLvl w:val="0"/>
        <w:rPr>
          <w:rFonts w:hint="eastAsia" w:ascii="宋体" w:hAnsi="宋体" w:eastAsia="宋体" w:cs="宋体"/>
          <w:b/>
          <w:bCs/>
          <w:color w:val="1A2029"/>
          <w:kern w:val="36"/>
          <w:sz w:val="28"/>
          <w:szCs w:val="28"/>
          <w14:ligatures w14:val="none"/>
        </w:rPr>
      </w:pPr>
    </w:p>
    <w:p w14:paraId="4436BEC7">
      <w:pPr>
        <w:keepNext w:val="0"/>
        <w:keepLines w:val="0"/>
        <w:pageBreakBefore w:val="0"/>
        <w:widowControl/>
        <w:kinsoku/>
        <w:wordWrap/>
        <w:overflowPunct/>
        <w:topLinePunct w:val="0"/>
        <w:autoSpaceDE/>
        <w:autoSpaceDN/>
        <w:bidi w:val="0"/>
        <w:adjustRightInd/>
        <w:snapToGrid/>
        <w:spacing w:after="0" w:line="360" w:lineRule="auto"/>
        <w:textAlignment w:val="baseline"/>
        <w:rPr>
          <w:rFonts w:hint="eastAsia" w:ascii="宋体" w:hAnsi="宋体" w:eastAsia="宋体" w:cs="宋体"/>
          <w:color w:val="1A2029"/>
          <w:kern w:val="0"/>
          <w:sz w:val="28"/>
          <w:szCs w:val="28"/>
          <w14:ligatures w14:val="none"/>
        </w:rPr>
      </w:pPr>
      <w:r>
        <w:rPr>
          <w:rFonts w:hint="eastAsia" w:ascii="宋体" w:hAnsi="宋体" w:eastAsia="宋体" w:cs="宋体"/>
          <w:b/>
          <w:bCs/>
          <w:color w:val="1A2029"/>
          <w:kern w:val="0"/>
          <w:sz w:val="28"/>
          <w:szCs w:val="28"/>
          <w14:ligatures w14:val="none"/>
        </w:rPr>
        <w:t>招标编号</w:t>
      </w:r>
      <w:r>
        <w:rPr>
          <w:rFonts w:hint="eastAsia" w:ascii="宋体" w:hAnsi="宋体" w:eastAsia="宋体" w:cs="宋体"/>
          <w:color w:val="1A2029"/>
          <w:kern w:val="0"/>
          <w:sz w:val="28"/>
          <w:szCs w:val="28"/>
          <w14:ligatures w14:val="none"/>
        </w:rPr>
        <w:t>：XC-JZ-2026-【001】</w:t>
      </w:r>
      <w:r>
        <w:rPr>
          <w:rFonts w:hint="eastAsia" w:ascii="宋体" w:hAnsi="宋体" w:eastAsia="宋体" w:cs="宋体"/>
          <w:color w:val="1A2029"/>
          <w:kern w:val="0"/>
          <w:sz w:val="28"/>
          <w:szCs w:val="28"/>
          <w14:ligatures w14:val="none"/>
        </w:rPr>
        <w:br w:type="textWrapping"/>
      </w:r>
      <w:r>
        <w:rPr>
          <w:rFonts w:hint="eastAsia" w:ascii="宋体" w:hAnsi="宋体" w:eastAsia="宋体" w:cs="宋体"/>
          <w:b/>
          <w:bCs/>
          <w:color w:val="1A2029"/>
          <w:kern w:val="0"/>
          <w:sz w:val="28"/>
          <w:szCs w:val="28"/>
          <w14:ligatures w14:val="none"/>
        </w:rPr>
        <w:t>招标人</w:t>
      </w:r>
      <w:r>
        <w:rPr>
          <w:rFonts w:hint="eastAsia" w:ascii="宋体" w:hAnsi="宋体" w:eastAsia="宋体" w:cs="宋体"/>
          <w:color w:val="1A2029"/>
          <w:kern w:val="0"/>
          <w:sz w:val="28"/>
          <w:szCs w:val="28"/>
          <w14:ligatures w14:val="none"/>
        </w:rPr>
        <w:t>：啸驰（四川）节能科技有限公司</w:t>
      </w:r>
      <w:r>
        <w:rPr>
          <w:rFonts w:hint="eastAsia" w:ascii="宋体" w:hAnsi="宋体" w:eastAsia="宋体" w:cs="宋体"/>
          <w:color w:val="1A2029"/>
          <w:kern w:val="0"/>
          <w:sz w:val="28"/>
          <w:szCs w:val="28"/>
          <w14:ligatures w14:val="none"/>
        </w:rPr>
        <w:br w:type="textWrapping"/>
      </w:r>
      <w:r>
        <w:rPr>
          <w:rFonts w:hint="eastAsia" w:ascii="宋体" w:hAnsi="宋体" w:eastAsia="宋体" w:cs="宋体"/>
          <w:b/>
          <w:bCs/>
          <w:color w:val="1A2029"/>
          <w:kern w:val="0"/>
          <w:sz w:val="28"/>
          <w:szCs w:val="28"/>
          <w14:ligatures w14:val="none"/>
        </w:rPr>
        <w:t>发布日期</w:t>
      </w:r>
      <w:r>
        <w:rPr>
          <w:rFonts w:hint="eastAsia" w:ascii="宋体" w:hAnsi="宋体" w:eastAsia="宋体" w:cs="宋体"/>
          <w:color w:val="1A2029"/>
          <w:kern w:val="0"/>
          <w:sz w:val="28"/>
          <w:szCs w:val="28"/>
          <w14:ligatures w14:val="none"/>
        </w:rPr>
        <w:t>：2026年9月10日</w:t>
      </w:r>
    </w:p>
    <w:p w14:paraId="0341C312">
      <w:pPr>
        <w:keepNext w:val="0"/>
        <w:keepLines w:val="0"/>
        <w:pageBreakBefore w:val="0"/>
        <w:widowControl/>
        <w:kinsoku/>
        <w:wordWrap/>
        <w:overflowPunct/>
        <w:topLinePunct w:val="0"/>
        <w:autoSpaceDE/>
        <w:autoSpaceDN/>
        <w:bidi w:val="0"/>
        <w:adjustRightInd/>
        <w:snapToGrid/>
        <w:spacing w:before="360" w:after="0" w:line="360" w:lineRule="auto"/>
        <w:ind w:firstLine="562" w:firstLineChars="200"/>
        <w:textAlignment w:val="baseline"/>
        <w:outlineLvl w:val="0"/>
        <w:rPr>
          <w:rFonts w:hint="eastAsia" w:ascii="宋体" w:hAnsi="宋体" w:eastAsia="宋体" w:cs="宋体"/>
          <w:b/>
          <w:bCs/>
          <w:color w:val="1A2029"/>
          <w:kern w:val="36"/>
          <w:sz w:val="28"/>
          <w:szCs w:val="28"/>
          <w14:ligatures w14:val="none"/>
        </w:rPr>
      </w:pPr>
      <w:r>
        <w:rPr>
          <w:rFonts w:hint="eastAsia" w:ascii="宋体" w:hAnsi="宋体" w:eastAsia="宋体" w:cs="宋体"/>
          <w:b/>
          <w:bCs/>
          <w:color w:val="1A2029"/>
          <w:kern w:val="36"/>
          <w:sz w:val="28"/>
          <w:szCs w:val="28"/>
          <w14:ligatures w14:val="none"/>
        </w:rPr>
        <w:t>第一部分 招标公告</w:t>
      </w:r>
    </w:p>
    <w:p w14:paraId="0CE536CD">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color w:val="1A2029"/>
          <w:kern w:val="0"/>
          <w:sz w:val="28"/>
          <w:szCs w:val="28"/>
          <w14:ligatures w14:val="none"/>
        </w:rPr>
      </w:pPr>
      <w:r>
        <w:rPr>
          <w:rFonts w:hint="eastAsia" w:ascii="宋体" w:hAnsi="宋体" w:eastAsia="宋体" w:cs="宋体"/>
          <w:color w:val="1A2029"/>
          <w:kern w:val="0"/>
          <w:sz w:val="28"/>
          <w:szCs w:val="28"/>
          <w14:ligatures w14:val="none"/>
        </w:rPr>
        <w:t>一、招标条件</w:t>
      </w:r>
    </w:p>
    <w:p w14:paraId="5073FEDC">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color w:val="1A2029"/>
          <w:kern w:val="0"/>
          <w:sz w:val="28"/>
          <w:szCs w:val="28"/>
          <w14:ligatures w14:val="none"/>
        </w:rPr>
      </w:pPr>
      <w:r>
        <w:rPr>
          <w:rFonts w:hint="eastAsia" w:ascii="宋体" w:hAnsi="宋体" w:eastAsia="宋体" w:cs="宋体"/>
          <w:color w:val="1A2029"/>
          <w:kern w:val="0"/>
          <w:sz w:val="28"/>
          <w:szCs w:val="28"/>
          <w14:ligatures w14:val="none"/>
        </w:rPr>
        <w:t>本招标项目年产2000套智慧电源驱动系统建设项目已完成立项备案（备案文号：川投资备【2511-510904-04-01-604568】FGQB-0757 号，备案机关：四川省发展和改革委员会四川省经济和信息化厅），资金来源为企业自筹，资金已落实，具备招标条件。招标人为啸驰（四川）节能科技有限公司，现对本项目方桩施工工程进行公开招标，欢迎符合资格条件的施工单位参与投标。</w:t>
      </w:r>
    </w:p>
    <w:p w14:paraId="0D052B16">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color w:val="1A2029"/>
          <w:kern w:val="0"/>
          <w:sz w:val="28"/>
          <w:szCs w:val="28"/>
          <w14:ligatures w14:val="none"/>
        </w:rPr>
      </w:pPr>
      <w:r>
        <w:rPr>
          <w:rFonts w:hint="eastAsia" w:ascii="宋体" w:hAnsi="宋体" w:eastAsia="宋体" w:cs="宋体"/>
          <w:color w:val="1A2029"/>
          <w:kern w:val="0"/>
          <w:sz w:val="28"/>
          <w:szCs w:val="28"/>
          <w14:ligatures w14:val="none"/>
        </w:rPr>
        <w:t>特别说明：本项目投标文件递交、开标、合同签订等招标活动，均由招标人啸驰（四川）节能科技有限公司统一组织，与啸驰电气股份有限公司仅共用办公地址，二者不承担相互代理责任。</w:t>
      </w:r>
    </w:p>
    <w:p w14:paraId="1A52A823">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color w:val="1A2029"/>
          <w:kern w:val="0"/>
          <w:sz w:val="28"/>
          <w:szCs w:val="28"/>
          <w14:ligatures w14:val="none"/>
        </w:rPr>
      </w:pPr>
      <w:r>
        <w:rPr>
          <w:rFonts w:hint="eastAsia" w:ascii="宋体" w:hAnsi="宋体" w:eastAsia="宋体" w:cs="宋体"/>
          <w:color w:val="1A2029"/>
          <w:kern w:val="0"/>
          <w:sz w:val="28"/>
          <w:szCs w:val="28"/>
          <w14:ligatures w14:val="none"/>
        </w:rPr>
        <w:t>二、项目概况与招标范围</w:t>
      </w:r>
    </w:p>
    <w:p w14:paraId="70090294">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color w:val="1A2029"/>
          <w:kern w:val="0"/>
          <w:sz w:val="28"/>
          <w:szCs w:val="28"/>
          <w14:ligatures w14:val="none"/>
        </w:rPr>
      </w:pPr>
      <w:r>
        <w:rPr>
          <w:rFonts w:hint="eastAsia" w:ascii="宋体" w:hAnsi="宋体" w:eastAsia="宋体" w:cs="宋体"/>
          <w:b/>
          <w:bCs/>
          <w:color w:val="1A2029"/>
          <w:kern w:val="0"/>
          <w:sz w:val="28"/>
          <w:szCs w:val="28"/>
          <w14:ligatures w14:val="none"/>
        </w:rPr>
        <w:t>项目名称</w:t>
      </w:r>
      <w:r>
        <w:rPr>
          <w:rFonts w:hint="eastAsia" w:ascii="宋体" w:hAnsi="宋体" w:eastAsia="宋体" w:cs="宋体"/>
          <w:color w:val="1A2029"/>
          <w:kern w:val="0"/>
          <w:sz w:val="28"/>
          <w:szCs w:val="28"/>
          <w14:ligatures w14:val="none"/>
        </w:rPr>
        <w:t>：年产2000套智慧电源驱动系统建设项目管桩施工</w:t>
      </w:r>
    </w:p>
    <w:p w14:paraId="24B4ECFD">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color w:val="1A2029"/>
          <w:kern w:val="0"/>
          <w:sz w:val="28"/>
          <w:szCs w:val="28"/>
          <w14:ligatures w14:val="none"/>
        </w:rPr>
      </w:pPr>
      <w:r>
        <w:rPr>
          <w:rFonts w:hint="eastAsia" w:ascii="宋体" w:hAnsi="宋体" w:eastAsia="宋体" w:cs="宋体"/>
          <w:b/>
          <w:bCs/>
          <w:color w:val="1A2029"/>
          <w:kern w:val="0"/>
          <w:sz w:val="28"/>
          <w:szCs w:val="28"/>
          <w14:ligatures w14:val="none"/>
        </w:rPr>
        <w:t>建设地点</w:t>
      </w:r>
      <w:r>
        <w:rPr>
          <w:rFonts w:hint="eastAsia" w:ascii="宋体" w:hAnsi="宋体" w:eastAsia="宋体" w:cs="宋体"/>
          <w:color w:val="1A2029"/>
          <w:kern w:val="0"/>
          <w:sz w:val="28"/>
          <w:szCs w:val="28"/>
          <w14:ligatures w14:val="none"/>
        </w:rPr>
        <w:t>：四川省遂宁市安居区顺安南路与安东大道交叉口旁边空地</w:t>
      </w:r>
    </w:p>
    <w:p w14:paraId="4BF47E1A">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color w:val="1A2029"/>
          <w:kern w:val="0"/>
          <w:sz w:val="28"/>
          <w:szCs w:val="28"/>
          <w14:ligatures w14:val="none"/>
        </w:rPr>
      </w:pPr>
      <w:r>
        <w:rPr>
          <w:rFonts w:hint="eastAsia" w:ascii="宋体" w:hAnsi="宋体" w:eastAsia="宋体" w:cs="宋体"/>
          <w:b/>
          <w:bCs/>
          <w:color w:val="1A2029"/>
          <w:kern w:val="0"/>
          <w:sz w:val="28"/>
          <w:szCs w:val="28"/>
          <w14:ligatures w14:val="none"/>
        </w:rPr>
        <w:t>项目概况</w:t>
      </w:r>
      <w:r>
        <w:rPr>
          <w:rFonts w:hint="eastAsia" w:ascii="宋体" w:hAnsi="宋体" w:eastAsia="宋体" w:cs="宋体"/>
          <w:color w:val="1A2029"/>
          <w:kern w:val="0"/>
          <w:sz w:val="28"/>
          <w:szCs w:val="28"/>
          <w14:ligatures w14:val="none"/>
        </w:rPr>
        <w:t>：本次招标内容为厂房基础桩施工，桩型为</w:t>
      </w:r>
      <w:r>
        <w:rPr>
          <w:rFonts w:hint="eastAsia" w:ascii="宋体" w:hAnsi="宋体" w:eastAsia="宋体" w:cs="宋体"/>
          <w:b/>
          <w:bCs/>
          <w:color w:val="1A2029"/>
          <w:kern w:val="0"/>
          <w:sz w:val="28"/>
          <w:szCs w:val="28"/>
          <w14:ligatures w14:val="none"/>
        </w:rPr>
        <w:t>300×300预应力混凝土方桩</w:t>
      </w:r>
      <w:r>
        <w:rPr>
          <w:rFonts w:hint="eastAsia" w:ascii="宋体" w:hAnsi="宋体" w:eastAsia="宋体" w:cs="宋体"/>
          <w:color w:val="1A2029"/>
          <w:kern w:val="0"/>
          <w:sz w:val="28"/>
          <w:szCs w:val="28"/>
          <w14:ligatures w14:val="none"/>
        </w:rPr>
        <w:t>（以正式施工图为准），总计约</w:t>
      </w:r>
      <w:r>
        <w:rPr>
          <w:rFonts w:hint="eastAsia" w:ascii="宋体" w:hAnsi="宋体" w:eastAsia="宋体" w:cs="宋体"/>
          <w:b/>
          <w:bCs/>
          <w:color w:val="1A2029"/>
          <w:kern w:val="0"/>
          <w:sz w:val="28"/>
          <w:szCs w:val="28"/>
          <w14:ligatures w14:val="none"/>
        </w:rPr>
        <w:t>416根</w:t>
      </w:r>
      <w:r>
        <w:rPr>
          <w:rFonts w:hint="eastAsia" w:ascii="宋体" w:hAnsi="宋体" w:eastAsia="宋体" w:cs="宋体"/>
          <w:color w:val="1A2029"/>
          <w:kern w:val="0"/>
          <w:sz w:val="28"/>
          <w:szCs w:val="28"/>
          <w14:ligatures w14:val="none"/>
        </w:rPr>
        <w:t>，预估总桩长约</w:t>
      </w:r>
      <w:r>
        <w:rPr>
          <w:rFonts w:hint="eastAsia" w:ascii="宋体" w:hAnsi="宋体" w:eastAsia="宋体" w:cs="宋体"/>
          <w:b/>
          <w:bCs/>
          <w:color w:val="1A2029"/>
          <w:kern w:val="0"/>
          <w:sz w:val="28"/>
          <w:szCs w:val="28"/>
          <w14:ligatures w14:val="none"/>
        </w:rPr>
        <w:t>4716m</w:t>
      </w:r>
      <w:r>
        <w:rPr>
          <w:rFonts w:hint="eastAsia" w:ascii="宋体" w:hAnsi="宋体" w:eastAsia="宋体" w:cs="宋体"/>
          <w:color w:val="1A2029"/>
          <w:kern w:val="0"/>
          <w:sz w:val="28"/>
          <w:szCs w:val="28"/>
          <w14:ligatures w14:val="none"/>
        </w:rPr>
        <w:t>，平均单桩长约11.3m。</w:t>
      </w:r>
      <w:r>
        <w:rPr>
          <w:rFonts w:hint="eastAsia" w:ascii="宋体" w:hAnsi="宋体" w:eastAsia="宋体" w:cs="宋体"/>
          <w:b/>
          <w:bCs/>
          <w:color w:val="1A2029"/>
          <w:kern w:val="0"/>
          <w:sz w:val="28"/>
          <w:szCs w:val="28"/>
          <w14:ligatures w14:val="none"/>
        </w:rPr>
        <w:t>实际桩长、桩数以施工图及现场实际发生并经监理、招标人确认的工程量为准。</w:t>
      </w:r>
    </w:p>
    <w:p w14:paraId="7D967D43">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color w:val="1A2029"/>
          <w:kern w:val="0"/>
          <w:sz w:val="28"/>
          <w:szCs w:val="28"/>
          <w14:ligatures w14:val="none"/>
        </w:rPr>
      </w:pPr>
      <w:r>
        <w:rPr>
          <w:rFonts w:hint="eastAsia" w:ascii="宋体" w:hAnsi="宋体" w:eastAsia="宋体" w:cs="宋体"/>
          <w:b/>
          <w:bCs/>
          <w:color w:val="1A2029"/>
          <w:kern w:val="0"/>
          <w:sz w:val="28"/>
          <w:szCs w:val="28"/>
          <w14:ligatures w14:val="none"/>
        </w:rPr>
        <w:t>招标范围</w:t>
      </w:r>
      <w:r>
        <w:rPr>
          <w:rFonts w:hint="eastAsia" w:ascii="宋体" w:hAnsi="宋体" w:eastAsia="宋体" w:cs="宋体"/>
          <w:color w:val="1A2029"/>
          <w:kern w:val="0"/>
          <w:sz w:val="28"/>
          <w:szCs w:val="28"/>
          <w14:ligatures w14:val="none"/>
        </w:rPr>
        <w:t>：</w:t>
      </w:r>
    </w:p>
    <w:p w14:paraId="11508108">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color w:val="1A2029"/>
          <w:kern w:val="0"/>
          <w:sz w:val="28"/>
          <w:szCs w:val="28"/>
          <w14:ligatures w14:val="none"/>
        </w:rPr>
      </w:pPr>
      <w:r>
        <w:rPr>
          <w:rFonts w:hint="eastAsia" w:ascii="宋体" w:hAnsi="宋体" w:eastAsia="宋体" w:cs="宋体"/>
          <w:color w:val="1A2029"/>
          <w:kern w:val="0"/>
          <w:sz w:val="28"/>
          <w:szCs w:val="28"/>
          <w:lang w:val="en-US" w:eastAsia="zh-CN"/>
          <w14:ligatures w14:val="none"/>
        </w:rPr>
        <w:t>1.</w:t>
      </w:r>
      <w:r>
        <w:rPr>
          <w:rFonts w:hint="eastAsia" w:ascii="宋体" w:hAnsi="宋体" w:eastAsia="宋体" w:cs="宋体"/>
          <w:color w:val="1A2029"/>
          <w:kern w:val="0"/>
          <w:sz w:val="28"/>
          <w:szCs w:val="28"/>
          <w14:ligatures w14:val="none"/>
        </w:rPr>
        <w:t>场地清表（含基坑土方开挖及建渣清运至本项目西面空地）；</w:t>
      </w:r>
    </w:p>
    <w:p w14:paraId="5872D5F7">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color w:val="1A2029"/>
          <w:kern w:val="0"/>
          <w:sz w:val="28"/>
          <w:szCs w:val="28"/>
          <w14:ligatures w14:val="none"/>
        </w:rPr>
      </w:pPr>
      <w:r>
        <w:rPr>
          <w:rFonts w:hint="eastAsia" w:ascii="宋体" w:hAnsi="宋体" w:eastAsia="宋体" w:cs="宋体"/>
          <w:color w:val="1A2029"/>
          <w:kern w:val="0"/>
          <w:sz w:val="28"/>
          <w:szCs w:val="28"/>
          <w:lang w:val="en-US" w:eastAsia="zh-CN"/>
          <w14:ligatures w14:val="none"/>
        </w:rPr>
        <w:t>2.</w:t>
      </w:r>
      <w:r>
        <w:rPr>
          <w:rFonts w:hint="eastAsia" w:ascii="宋体" w:hAnsi="宋体" w:eastAsia="宋体" w:cs="宋体"/>
          <w:color w:val="1A2029"/>
          <w:kern w:val="0"/>
          <w:sz w:val="28"/>
          <w:szCs w:val="28"/>
          <w14:ligatures w14:val="none"/>
        </w:rPr>
        <w:t>测量放线；</w:t>
      </w:r>
    </w:p>
    <w:p w14:paraId="48873833">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color w:val="1A2029"/>
          <w:kern w:val="0"/>
          <w:sz w:val="28"/>
          <w:szCs w:val="28"/>
          <w14:ligatures w14:val="none"/>
        </w:rPr>
      </w:pPr>
      <w:r>
        <w:rPr>
          <w:rFonts w:hint="eastAsia" w:ascii="宋体" w:hAnsi="宋体" w:eastAsia="宋体" w:cs="宋体"/>
          <w:color w:val="1A2029"/>
          <w:kern w:val="0"/>
          <w:sz w:val="28"/>
          <w:szCs w:val="28"/>
          <w:lang w:val="en-US" w:eastAsia="zh-CN"/>
          <w14:ligatures w14:val="none"/>
        </w:rPr>
        <w:t>3.</w:t>
      </w:r>
      <w:r>
        <w:rPr>
          <w:rFonts w:hint="eastAsia" w:ascii="宋体" w:hAnsi="宋体" w:eastAsia="宋体" w:cs="宋体"/>
          <w:color w:val="1A2029"/>
          <w:kern w:val="0"/>
          <w:sz w:val="28"/>
          <w:szCs w:val="28"/>
          <w14:ligatures w14:val="none"/>
        </w:rPr>
        <w:t>预应力混凝土方桩采购、运输、施打、接桩、送桩；</w:t>
      </w:r>
    </w:p>
    <w:p w14:paraId="0683E3B5">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color w:val="1A2029"/>
          <w:kern w:val="0"/>
          <w:sz w:val="28"/>
          <w:szCs w:val="28"/>
          <w14:ligatures w14:val="none"/>
        </w:rPr>
      </w:pPr>
      <w:r>
        <w:rPr>
          <w:rFonts w:hint="eastAsia" w:ascii="宋体" w:hAnsi="宋体" w:eastAsia="宋体" w:cs="宋体"/>
          <w:color w:val="1A2029"/>
          <w:kern w:val="0"/>
          <w:sz w:val="28"/>
          <w:szCs w:val="28"/>
          <w:lang w:val="en-US" w:eastAsia="zh-CN"/>
          <w14:ligatures w14:val="none"/>
        </w:rPr>
        <w:t>4.</w:t>
      </w:r>
      <w:r>
        <w:rPr>
          <w:rFonts w:hint="eastAsia" w:ascii="宋体" w:hAnsi="宋体" w:eastAsia="宋体" w:cs="宋体"/>
          <w:color w:val="1A2029"/>
          <w:kern w:val="0"/>
          <w:sz w:val="28"/>
          <w:szCs w:val="28"/>
          <w14:ligatures w14:val="none"/>
        </w:rPr>
        <w:t>桩位复测、配合桩身完整性检测及静载试验（检测单位由招标人另行委托，检测费用由招标人承担，投标人应无偿配合并承担配合费用）；</w:t>
      </w:r>
    </w:p>
    <w:p w14:paraId="0CC34ECE">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color w:val="1A2029"/>
          <w:kern w:val="0"/>
          <w:sz w:val="28"/>
          <w:szCs w:val="28"/>
          <w14:ligatures w14:val="none"/>
        </w:rPr>
      </w:pPr>
      <w:r>
        <w:rPr>
          <w:rFonts w:hint="eastAsia" w:ascii="宋体" w:hAnsi="宋体" w:eastAsia="宋体" w:cs="宋体"/>
          <w:color w:val="1A2029"/>
          <w:kern w:val="0"/>
          <w:sz w:val="28"/>
          <w:szCs w:val="28"/>
          <w:lang w:val="en-US" w:eastAsia="zh-CN"/>
          <w14:ligatures w14:val="none"/>
        </w:rPr>
        <w:t>5.</w:t>
      </w:r>
      <w:r>
        <w:rPr>
          <w:rFonts w:hint="eastAsia" w:ascii="宋体" w:hAnsi="宋体" w:eastAsia="宋体" w:cs="宋体"/>
          <w:color w:val="1A2029"/>
          <w:kern w:val="0"/>
          <w:sz w:val="28"/>
          <w:szCs w:val="28"/>
          <w14:ligatures w14:val="none"/>
        </w:rPr>
        <w:t>桩头破除（平均裁桩长度不大于1m）、场地清理、渣土外运；</w:t>
      </w:r>
    </w:p>
    <w:p w14:paraId="3BB2E338">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color w:val="1A2029"/>
          <w:kern w:val="0"/>
          <w:sz w:val="28"/>
          <w:szCs w:val="28"/>
          <w14:ligatures w14:val="none"/>
        </w:rPr>
      </w:pPr>
      <w:r>
        <w:rPr>
          <w:rFonts w:hint="eastAsia" w:ascii="宋体" w:hAnsi="宋体" w:eastAsia="宋体" w:cs="宋体"/>
          <w:color w:val="1A2029"/>
          <w:kern w:val="0"/>
          <w:sz w:val="28"/>
          <w:szCs w:val="28"/>
          <w:lang w:val="en-US" w:eastAsia="zh-CN"/>
          <w14:ligatures w14:val="none"/>
        </w:rPr>
        <w:t>6.</w:t>
      </w:r>
      <w:r>
        <w:rPr>
          <w:rFonts w:hint="eastAsia" w:ascii="宋体" w:hAnsi="宋体" w:eastAsia="宋体" w:cs="宋体"/>
          <w:color w:val="1A2029"/>
          <w:kern w:val="0"/>
          <w:sz w:val="28"/>
          <w:szCs w:val="28"/>
          <w14:ligatures w14:val="none"/>
        </w:rPr>
        <w:t>施工资料编制、报验、竣工验收配合、质保服务等全部工作内容。</w:t>
      </w:r>
    </w:p>
    <w:p w14:paraId="58C39F87">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color w:val="1A2029"/>
          <w:kern w:val="0"/>
          <w:sz w:val="28"/>
          <w:szCs w:val="28"/>
          <w14:ligatures w14:val="none"/>
        </w:rPr>
      </w:pPr>
      <w:r>
        <w:rPr>
          <w:rFonts w:hint="eastAsia" w:ascii="宋体" w:hAnsi="宋体" w:eastAsia="宋体" w:cs="宋体"/>
          <w:b/>
          <w:bCs/>
          <w:color w:val="1A2029"/>
          <w:kern w:val="0"/>
          <w:sz w:val="28"/>
          <w:szCs w:val="28"/>
          <w14:ligatures w14:val="none"/>
        </w:rPr>
        <w:t>计划工期</w:t>
      </w:r>
      <w:r>
        <w:rPr>
          <w:rFonts w:hint="eastAsia" w:ascii="宋体" w:hAnsi="宋体" w:eastAsia="宋体" w:cs="宋体"/>
          <w:color w:val="1A2029"/>
          <w:kern w:val="0"/>
          <w:sz w:val="28"/>
          <w:szCs w:val="28"/>
          <w14:ligatures w14:val="none"/>
        </w:rPr>
        <w:t>：合同签订后</w:t>
      </w:r>
      <w:r>
        <w:rPr>
          <w:rFonts w:hint="eastAsia" w:ascii="宋体" w:hAnsi="宋体" w:eastAsia="宋体" w:cs="宋体"/>
          <w:b/>
          <w:bCs/>
          <w:color w:val="1A2029"/>
          <w:kern w:val="0"/>
          <w:sz w:val="28"/>
          <w:szCs w:val="28"/>
          <w14:ligatures w14:val="none"/>
        </w:rPr>
        <w:t>50日历天</w:t>
      </w:r>
      <w:r>
        <w:rPr>
          <w:rFonts w:hint="eastAsia" w:ascii="宋体" w:hAnsi="宋体" w:eastAsia="宋体" w:cs="宋体"/>
          <w:color w:val="1A2029"/>
          <w:kern w:val="0"/>
          <w:sz w:val="28"/>
          <w:szCs w:val="28"/>
          <w14:ligatures w14:val="none"/>
        </w:rPr>
        <w:t>内完成全部桩基施工；桩身完整性检测、静载试验及验收工作（含检测休止期）在成桩完成后</w:t>
      </w:r>
      <w:r>
        <w:rPr>
          <w:rFonts w:hint="eastAsia" w:ascii="宋体" w:hAnsi="宋体" w:eastAsia="宋体" w:cs="宋体"/>
          <w:b/>
          <w:bCs/>
          <w:color w:val="1A2029"/>
          <w:kern w:val="0"/>
          <w:sz w:val="28"/>
          <w:szCs w:val="28"/>
          <w14:ligatures w14:val="none"/>
        </w:rPr>
        <w:t>30日历天</w:t>
      </w:r>
      <w:r>
        <w:rPr>
          <w:rFonts w:hint="eastAsia" w:ascii="宋体" w:hAnsi="宋体" w:eastAsia="宋体" w:cs="宋体"/>
          <w:color w:val="1A2029"/>
          <w:kern w:val="0"/>
          <w:sz w:val="28"/>
          <w:szCs w:val="28"/>
          <w14:ligatures w14:val="none"/>
        </w:rPr>
        <w:t>内完成。上述工期包含检测间歇期，投标人应综合考虑。如遇地质条件变化导致成桩异常，经监理及招标人确认后工期相应顺延。</w:t>
      </w:r>
    </w:p>
    <w:p w14:paraId="63CBE31F">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color w:val="1A2029"/>
          <w:kern w:val="0"/>
          <w:sz w:val="28"/>
          <w:szCs w:val="28"/>
          <w14:ligatures w14:val="none"/>
        </w:rPr>
      </w:pPr>
      <w:r>
        <w:rPr>
          <w:rFonts w:hint="eastAsia" w:ascii="宋体" w:hAnsi="宋体" w:eastAsia="宋体" w:cs="宋体"/>
          <w:b/>
          <w:bCs/>
          <w:color w:val="1A2029"/>
          <w:kern w:val="0"/>
          <w:sz w:val="28"/>
          <w:szCs w:val="28"/>
          <w14:ligatures w14:val="none"/>
        </w:rPr>
        <w:t>质量标准</w:t>
      </w:r>
      <w:r>
        <w:rPr>
          <w:rFonts w:hint="eastAsia" w:ascii="宋体" w:hAnsi="宋体" w:eastAsia="宋体" w:cs="宋体"/>
          <w:color w:val="1A2029"/>
          <w:kern w:val="0"/>
          <w:sz w:val="28"/>
          <w:szCs w:val="28"/>
          <w14:ligatures w14:val="none"/>
        </w:rPr>
        <w:t>：符合《建筑桩基技术规范》JGJ94、《建筑地基基础工程施工质量验收标准》GB50202、设计图纸及现行国家、行业、地方规范标准，</w:t>
      </w:r>
      <w:r>
        <w:rPr>
          <w:rFonts w:hint="eastAsia" w:ascii="宋体" w:hAnsi="宋体" w:eastAsia="宋体" w:cs="宋体"/>
          <w:b/>
          <w:bCs/>
          <w:color w:val="1A2029"/>
          <w:kern w:val="0"/>
          <w:sz w:val="28"/>
          <w:szCs w:val="28"/>
          <w14:ligatures w14:val="none"/>
        </w:rPr>
        <w:t>一次性验收合格</w:t>
      </w:r>
      <w:r>
        <w:rPr>
          <w:rFonts w:hint="eastAsia" w:ascii="宋体" w:hAnsi="宋体" w:eastAsia="宋体" w:cs="宋体"/>
          <w:color w:val="1A2029"/>
          <w:kern w:val="0"/>
          <w:sz w:val="28"/>
          <w:szCs w:val="28"/>
          <w14:ligatures w14:val="none"/>
        </w:rPr>
        <w:t>。</w:t>
      </w:r>
    </w:p>
    <w:p w14:paraId="1FD4F760">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color w:val="1A2029"/>
          <w:kern w:val="0"/>
          <w:sz w:val="28"/>
          <w:szCs w:val="28"/>
          <w14:ligatures w14:val="none"/>
        </w:rPr>
      </w:pPr>
      <w:r>
        <w:rPr>
          <w:rFonts w:hint="eastAsia" w:ascii="宋体" w:hAnsi="宋体" w:eastAsia="宋体" w:cs="宋体"/>
          <w:b/>
          <w:bCs/>
          <w:color w:val="1A2029"/>
          <w:kern w:val="0"/>
          <w:sz w:val="28"/>
          <w:szCs w:val="28"/>
          <w14:ligatures w14:val="none"/>
        </w:rPr>
        <w:t>安全文明施工</w:t>
      </w:r>
      <w:r>
        <w:rPr>
          <w:rFonts w:hint="eastAsia" w:ascii="宋体" w:hAnsi="宋体" w:eastAsia="宋体" w:cs="宋体"/>
          <w:color w:val="1A2029"/>
          <w:kern w:val="0"/>
          <w:sz w:val="28"/>
          <w:szCs w:val="28"/>
          <w14:ligatures w14:val="none"/>
        </w:rPr>
        <w:t>：投标人应落实安全生产、文明施工各项要求，承担施工期间的安全生产责任，并遵守招标人厂区相关管理制度。</w:t>
      </w:r>
    </w:p>
    <w:p w14:paraId="4822F2EB">
      <w:pPr>
        <w:keepNext w:val="0"/>
        <w:keepLines w:val="0"/>
        <w:pageBreakBefore w:val="0"/>
        <w:widowControl/>
        <w:kinsoku/>
        <w:wordWrap/>
        <w:overflowPunct/>
        <w:topLinePunct w:val="0"/>
        <w:autoSpaceDE/>
        <w:autoSpaceDN/>
        <w:bidi w:val="0"/>
        <w:adjustRightInd/>
        <w:snapToGrid/>
        <w:spacing w:before="360" w:after="0" w:line="360" w:lineRule="auto"/>
        <w:ind w:firstLine="562" w:firstLineChars="200"/>
        <w:textAlignment w:val="baseline"/>
        <w:outlineLvl w:val="1"/>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三、投标人资格要求</w:t>
      </w:r>
    </w:p>
    <w:p w14:paraId="7FCE016D">
      <w:pPr>
        <w:keepNext w:val="0"/>
        <w:keepLines w:val="0"/>
        <w:pageBreakBefore w:val="0"/>
        <w:widowControl/>
        <w:numPr>
          <w:ilvl w:val="0"/>
          <w:numId w:val="0"/>
        </w:numPr>
        <w:kinsoku/>
        <w:wordWrap/>
        <w:overflowPunct/>
        <w:topLinePunct w:val="0"/>
        <w:autoSpaceDE/>
        <w:autoSpaceDN/>
        <w:bidi w:val="0"/>
        <w:adjustRightInd/>
        <w:snapToGrid/>
        <w:spacing w:after="0" w:line="360" w:lineRule="auto"/>
        <w:ind w:leftChars="0" w:firstLine="560" w:firstLineChars="200"/>
        <w:textAlignment w:val="baseline"/>
        <w:rPr>
          <w:rFonts w:hint="eastAsia" w:ascii="宋体" w:hAnsi="宋体" w:eastAsia="宋体" w:cs="宋体"/>
          <w:color w:val="1A2029"/>
          <w:kern w:val="0"/>
          <w:sz w:val="28"/>
          <w:szCs w:val="28"/>
          <w14:ligatures w14:val="none"/>
        </w:rPr>
      </w:pPr>
      <w:r>
        <w:rPr>
          <w:rFonts w:hint="eastAsia" w:ascii="宋体" w:hAnsi="宋体" w:eastAsia="宋体" w:cs="宋体"/>
          <w:color w:val="1A2029"/>
          <w:kern w:val="0"/>
          <w:sz w:val="28"/>
          <w:szCs w:val="28"/>
          <w:lang w:val="en-US" w:eastAsia="zh-CN"/>
          <w14:ligatures w14:val="none"/>
        </w:rPr>
        <w:t>1.</w:t>
      </w:r>
      <w:r>
        <w:rPr>
          <w:rFonts w:hint="eastAsia" w:ascii="宋体" w:hAnsi="宋体" w:eastAsia="宋体" w:cs="宋体"/>
          <w:color w:val="1A2029"/>
          <w:kern w:val="0"/>
          <w:sz w:val="28"/>
          <w:szCs w:val="28"/>
          <w14:ligatures w14:val="none"/>
        </w:rPr>
        <w:t>投标人须为在中华人民共和国境内注册的独立法人，持有有效的营业执照；</w:t>
      </w:r>
    </w:p>
    <w:p w14:paraId="1D19AD8F">
      <w:pPr>
        <w:keepNext w:val="0"/>
        <w:keepLines w:val="0"/>
        <w:pageBreakBefore w:val="0"/>
        <w:widowControl/>
        <w:numPr>
          <w:ilvl w:val="0"/>
          <w:numId w:val="0"/>
        </w:numPr>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color w:val="1A2029"/>
          <w:kern w:val="0"/>
          <w:sz w:val="28"/>
          <w:szCs w:val="28"/>
          <w14:ligatures w14:val="none"/>
        </w:rPr>
      </w:pPr>
      <w:r>
        <w:rPr>
          <w:rFonts w:hint="eastAsia" w:ascii="宋体" w:hAnsi="宋体" w:eastAsia="宋体" w:cs="宋体"/>
          <w:color w:val="1A2029"/>
          <w:kern w:val="0"/>
          <w:sz w:val="28"/>
          <w:szCs w:val="28"/>
          <w:lang w:val="en-US" w:eastAsia="zh-CN"/>
          <w14:ligatures w14:val="none"/>
        </w:rPr>
        <w:t>2.</w:t>
      </w:r>
      <w:r>
        <w:rPr>
          <w:rFonts w:hint="eastAsia" w:ascii="宋体" w:hAnsi="宋体" w:eastAsia="宋体" w:cs="宋体"/>
          <w:color w:val="1A2029"/>
          <w:kern w:val="0"/>
          <w:sz w:val="28"/>
          <w:szCs w:val="28"/>
          <w14:ligatures w14:val="none"/>
        </w:rPr>
        <w:t>具备</w:t>
      </w:r>
      <w:r>
        <w:rPr>
          <w:rFonts w:hint="eastAsia" w:ascii="宋体" w:hAnsi="宋体" w:eastAsia="宋体" w:cs="宋体"/>
          <w:b/>
          <w:bCs/>
          <w:color w:val="1A2029"/>
          <w:kern w:val="0"/>
          <w:sz w:val="28"/>
          <w:szCs w:val="28"/>
          <w14:ligatures w14:val="none"/>
        </w:rPr>
        <w:t>地基基础工程专业承包三级及以上资质</w:t>
      </w:r>
      <w:r>
        <w:rPr>
          <w:rFonts w:hint="eastAsia" w:ascii="宋体" w:hAnsi="宋体" w:eastAsia="宋体" w:cs="宋体"/>
          <w:color w:val="1A2029"/>
          <w:kern w:val="0"/>
          <w:sz w:val="28"/>
          <w:szCs w:val="28"/>
          <w14:ligatures w14:val="none"/>
        </w:rPr>
        <w:t>，并具备有效的安全生产许可证；</w:t>
      </w:r>
    </w:p>
    <w:p w14:paraId="7D23FD45">
      <w:pPr>
        <w:keepNext w:val="0"/>
        <w:keepLines w:val="0"/>
        <w:pageBreakBefore w:val="0"/>
        <w:widowControl/>
        <w:numPr>
          <w:ilvl w:val="0"/>
          <w:numId w:val="0"/>
        </w:numPr>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color w:val="1A2029"/>
          <w:kern w:val="0"/>
          <w:sz w:val="28"/>
          <w:szCs w:val="28"/>
          <w14:ligatures w14:val="none"/>
        </w:rPr>
      </w:pPr>
      <w:r>
        <w:rPr>
          <w:rFonts w:hint="eastAsia" w:ascii="宋体" w:hAnsi="宋体" w:eastAsia="宋体" w:cs="宋体"/>
          <w:color w:val="1A2029"/>
          <w:kern w:val="0"/>
          <w:sz w:val="28"/>
          <w:szCs w:val="28"/>
          <w:lang w:val="en-US" w:eastAsia="zh-CN"/>
          <w14:ligatures w14:val="none"/>
        </w:rPr>
        <w:t>3.</w:t>
      </w:r>
      <w:r>
        <w:rPr>
          <w:rFonts w:hint="eastAsia" w:ascii="宋体" w:hAnsi="宋体" w:eastAsia="宋体" w:cs="宋体"/>
          <w:color w:val="1A2029"/>
          <w:kern w:val="0"/>
          <w:sz w:val="28"/>
          <w:szCs w:val="28"/>
          <w14:ligatures w14:val="none"/>
        </w:rPr>
        <w:t>拟派项目负责人须具备建筑工程专业</w:t>
      </w:r>
      <w:r>
        <w:rPr>
          <w:rFonts w:hint="eastAsia" w:ascii="宋体" w:hAnsi="宋体" w:eastAsia="宋体" w:cs="宋体"/>
          <w:b/>
          <w:bCs/>
          <w:color w:val="1A2029"/>
          <w:kern w:val="0"/>
          <w:sz w:val="28"/>
          <w:szCs w:val="28"/>
          <w14:ligatures w14:val="none"/>
        </w:rPr>
        <w:t>二级及以上注册建造师证书</w:t>
      </w:r>
      <w:r>
        <w:rPr>
          <w:rFonts w:hint="eastAsia" w:ascii="宋体" w:hAnsi="宋体" w:eastAsia="宋体" w:cs="宋体"/>
          <w:color w:val="1A2029"/>
          <w:kern w:val="0"/>
          <w:sz w:val="28"/>
          <w:szCs w:val="28"/>
          <w14:ligatures w14:val="none"/>
        </w:rPr>
        <w:t>及安全生产考核合格证书（B证），且无在建项目（提供无在建工程承诺书）；</w:t>
      </w:r>
    </w:p>
    <w:p w14:paraId="68B8345A">
      <w:pPr>
        <w:keepNext w:val="0"/>
        <w:keepLines w:val="0"/>
        <w:pageBreakBefore w:val="0"/>
        <w:widowControl/>
        <w:numPr>
          <w:ilvl w:val="0"/>
          <w:numId w:val="0"/>
        </w:numPr>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color w:val="1A2029"/>
          <w:kern w:val="0"/>
          <w:sz w:val="28"/>
          <w:szCs w:val="28"/>
          <w14:ligatures w14:val="none"/>
        </w:rPr>
      </w:pPr>
      <w:r>
        <w:rPr>
          <w:rFonts w:hint="eastAsia" w:ascii="宋体" w:hAnsi="宋体" w:eastAsia="宋体" w:cs="宋体"/>
          <w:color w:val="1A2029"/>
          <w:kern w:val="0"/>
          <w:sz w:val="28"/>
          <w:szCs w:val="28"/>
          <w:lang w:val="en-US" w:eastAsia="zh-CN"/>
          <w14:ligatures w14:val="none"/>
        </w:rPr>
        <w:t>4.</w:t>
      </w:r>
      <w:r>
        <w:rPr>
          <w:rFonts w:hint="eastAsia" w:ascii="宋体" w:hAnsi="宋体" w:eastAsia="宋体" w:cs="宋体"/>
          <w:color w:val="1A2029"/>
          <w:kern w:val="0"/>
          <w:sz w:val="28"/>
          <w:szCs w:val="28"/>
          <w14:ligatures w14:val="none"/>
        </w:rPr>
        <w:t>近3年内具有不少于</w:t>
      </w:r>
      <w:r>
        <w:rPr>
          <w:rFonts w:hint="eastAsia" w:ascii="宋体" w:hAnsi="宋体" w:eastAsia="宋体" w:cs="宋体"/>
          <w:b/>
          <w:bCs/>
          <w:color w:val="1A2029"/>
          <w:kern w:val="0"/>
          <w:sz w:val="28"/>
          <w:szCs w:val="28"/>
          <w14:ligatures w14:val="none"/>
        </w:rPr>
        <w:t>2个</w:t>
      </w:r>
      <w:r>
        <w:rPr>
          <w:rFonts w:hint="eastAsia" w:ascii="宋体" w:hAnsi="宋体" w:eastAsia="宋体" w:cs="宋体"/>
          <w:color w:val="1A2029"/>
          <w:kern w:val="0"/>
          <w:sz w:val="28"/>
          <w:szCs w:val="28"/>
          <w14:ligatures w14:val="none"/>
        </w:rPr>
        <w:t>同类桩基施工业绩，</w:t>
      </w:r>
      <w:r>
        <w:rPr>
          <w:rFonts w:hint="eastAsia" w:ascii="宋体" w:hAnsi="宋体" w:eastAsia="宋体" w:cs="宋体"/>
          <w:b/>
          <w:bCs/>
          <w:color w:val="1A2029"/>
          <w:kern w:val="0"/>
          <w:sz w:val="28"/>
          <w:szCs w:val="28"/>
          <w14:ligatures w14:val="none"/>
        </w:rPr>
        <w:t>单份合同金额不低于30万元</w:t>
      </w:r>
      <w:r>
        <w:rPr>
          <w:rFonts w:hint="eastAsia" w:ascii="宋体" w:hAnsi="宋体" w:eastAsia="宋体" w:cs="宋体"/>
          <w:color w:val="1A2029"/>
          <w:kern w:val="0"/>
          <w:sz w:val="28"/>
          <w:szCs w:val="28"/>
          <w14:ligatures w14:val="none"/>
        </w:rPr>
        <w:t>（提供合同复印件及竣工验收证明等佐证材料）；</w:t>
      </w:r>
    </w:p>
    <w:p w14:paraId="7DBD5D4C">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color w:val="1A2029"/>
          <w:kern w:val="0"/>
          <w:sz w:val="28"/>
          <w:szCs w:val="28"/>
          <w:lang w:val="en-US" w:eastAsia="zh-CN"/>
          <w14:ligatures w14:val="none"/>
        </w:rPr>
        <w:t>5.</w:t>
      </w:r>
      <w:r>
        <w:rPr>
          <w:rFonts w:hint="eastAsia" w:ascii="宋体" w:hAnsi="宋体" w:eastAsia="宋体" w:cs="宋体"/>
          <w:color w:val="1A2029"/>
          <w:kern w:val="0"/>
          <w:sz w:val="28"/>
          <w:szCs w:val="28"/>
          <w14:ligatures w14:val="none"/>
        </w:rPr>
        <w:t>投标人财务状况良好，未被列入失信被执行人名单、重大税收违法失信</w:t>
      </w:r>
      <w:r>
        <w:rPr>
          <w:rFonts w:hint="eastAsia" w:ascii="宋体" w:hAnsi="宋体" w:eastAsia="宋体" w:cs="宋体"/>
          <w:b w:val="0"/>
          <w:bCs w:val="0"/>
          <w:color w:val="1A2029"/>
          <w:kern w:val="0"/>
          <w:sz w:val="28"/>
          <w:szCs w:val="28"/>
          <w14:ligatures w14:val="none"/>
        </w:rPr>
        <w:t>主体，近3年无重大质量、安全事故记录；</w:t>
      </w:r>
    </w:p>
    <w:p w14:paraId="64B12F6F">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lang w:val="en-US" w:eastAsia="zh-CN"/>
          <w14:ligatures w14:val="none"/>
        </w:rPr>
        <w:t>6.</w:t>
      </w:r>
      <w:r>
        <w:rPr>
          <w:rFonts w:hint="eastAsia" w:ascii="宋体" w:hAnsi="宋体" w:eastAsia="宋体" w:cs="宋体"/>
          <w:b w:val="0"/>
          <w:bCs w:val="0"/>
          <w:color w:val="1A2029"/>
          <w:kern w:val="0"/>
          <w:sz w:val="28"/>
          <w:szCs w:val="28"/>
          <w14:ligatures w14:val="none"/>
        </w:rPr>
        <w:t>本次招标不接受联合体投标。单位负责人为同一人或者存在控股、管理关系的不同单位，不得同时参加本项目投标，否则相关投标均作废标处理。</w:t>
      </w:r>
    </w:p>
    <w:p w14:paraId="7C7594B4">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四、招标文件获取与现场踏勘</w:t>
      </w:r>
    </w:p>
    <w:p w14:paraId="45D6C65C">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获取时间：2026年9月10日 至 2026年9月16日（工作日9:00—17:00）</w:t>
      </w:r>
    </w:p>
    <w:p w14:paraId="5B8492C2">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获取方式：现场领取或线上发送电子版。投标人需提交营业执照、资质证书、安全生产许可证扫描件、法人身份证明或授权委托书。</w:t>
      </w:r>
    </w:p>
    <w:p w14:paraId="07FF066E">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施工图及地勘资料：投标人在获取招标文件时，由招标人一并提供设计施工图、岩土工程勘察报告（电子版）。投标人应依据上述资料自主报价，投标报价视为已充分考虑现场地质条件、地下管线、周边环境等全部风险因素。</w:t>
      </w:r>
    </w:p>
    <w:p w14:paraId="5DA6574B">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现场踏勘与答疑：</w:t>
      </w:r>
    </w:p>
    <w:p w14:paraId="516FADF7">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lang w:val="en-US" w:eastAsia="zh-CN"/>
          <w14:ligatures w14:val="none"/>
        </w:rPr>
        <w:t>1.</w:t>
      </w:r>
      <w:r>
        <w:rPr>
          <w:rFonts w:hint="eastAsia" w:ascii="宋体" w:hAnsi="宋体" w:eastAsia="宋体" w:cs="宋体"/>
          <w:b w:val="0"/>
          <w:bCs w:val="0"/>
          <w:color w:val="1A2029"/>
          <w:kern w:val="0"/>
          <w:sz w:val="28"/>
          <w:szCs w:val="28"/>
          <w14:ligatures w14:val="none"/>
        </w:rPr>
        <w:t>现场踏勘时间：2026年9月14日 上午9:30（自行前往，招标人安排人员对接）；</w:t>
      </w:r>
    </w:p>
    <w:p w14:paraId="4471AEC7">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lang w:val="en-US" w:eastAsia="zh-CN"/>
          <w14:ligatures w14:val="none"/>
        </w:rPr>
        <w:t>2.</w:t>
      </w:r>
      <w:r>
        <w:rPr>
          <w:rFonts w:hint="eastAsia" w:ascii="宋体" w:hAnsi="宋体" w:eastAsia="宋体" w:cs="宋体"/>
          <w:b w:val="0"/>
          <w:bCs w:val="0"/>
          <w:color w:val="1A2029"/>
          <w:kern w:val="0"/>
          <w:sz w:val="28"/>
          <w:szCs w:val="28"/>
          <w14:ligatures w14:val="none"/>
        </w:rPr>
        <w:t>投标人疑问以书面形式于2026年9月15日17:00前送达招标人（邮箱：info@schorch.com.cn）；</w:t>
      </w:r>
    </w:p>
    <w:p w14:paraId="584ADE29">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lang w:val="en-US" w:eastAsia="zh-CN"/>
          <w14:ligatures w14:val="none"/>
        </w:rPr>
        <w:t>3.</w:t>
      </w:r>
      <w:r>
        <w:rPr>
          <w:rFonts w:hint="eastAsia" w:ascii="宋体" w:hAnsi="宋体" w:eastAsia="宋体" w:cs="宋体"/>
          <w:b w:val="0"/>
          <w:bCs w:val="0"/>
          <w:color w:val="1A2029"/>
          <w:kern w:val="0"/>
          <w:sz w:val="28"/>
          <w:szCs w:val="28"/>
          <w14:ligatures w14:val="none"/>
        </w:rPr>
        <w:t>招标人于2026年9月16日前以书面形式统一答复全部投标人，答疑纪要为招标文件组成部分。</w:t>
      </w:r>
    </w:p>
    <w:p w14:paraId="4B39AAE1">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五、投标保证金</w:t>
      </w:r>
    </w:p>
    <w:p w14:paraId="7E5D475C">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lang w:val="en-US" w:eastAsia="zh-CN"/>
          <w14:ligatures w14:val="none"/>
        </w:rPr>
        <w:t>1.</w:t>
      </w:r>
      <w:r>
        <w:rPr>
          <w:rFonts w:hint="eastAsia" w:ascii="宋体" w:hAnsi="宋体" w:eastAsia="宋体" w:cs="宋体"/>
          <w:b w:val="0"/>
          <w:bCs w:val="0"/>
          <w:color w:val="1A2029"/>
          <w:kern w:val="0"/>
          <w:sz w:val="28"/>
          <w:szCs w:val="28"/>
          <w14:ligatures w14:val="none"/>
        </w:rPr>
        <w:t>投标人须在投标截止时间前缴纳投标保证金人民币壹万伍仟元整（¥15,000.00），缴纳方式为银行转账（账户信息：啸驰（四川）节能科技有限公司，开户银行：中国银行遂宁安居支行，账号：128039760722 行号：104662061383凭证注明“方桩投标保证金+单位简称”；</w:t>
      </w:r>
    </w:p>
    <w:p w14:paraId="5B879B84">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lang w:val="en-US" w:eastAsia="zh-CN"/>
          <w14:ligatures w14:val="none"/>
        </w:rPr>
        <w:t>2.</w:t>
      </w:r>
      <w:r>
        <w:rPr>
          <w:rFonts w:hint="eastAsia" w:ascii="宋体" w:hAnsi="宋体" w:eastAsia="宋体" w:cs="宋体"/>
          <w:b w:val="0"/>
          <w:bCs w:val="0"/>
          <w:color w:val="1A2029"/>
          <w:kern w:val="0"/>
          <w:sz w:val="28"/>
          <w:szCs w:val="28"/>
          <w14:ligatures w14:val="none"/>
        </w:rPr>
        <w:t>未中标人的投标保证金于中标通知书发出后5个工作日内无息退还；中标人的投标保证金在其签订合同并缴纳履约保证金后转为履约保证金的一部分；</w:t>
      </w:r>
    </w:p>
    <w:p w14:paraId="7C6603F8">
      <w:pPr>
        <w:keepNext w:val="0"/>
        <w:keepLines w:val="0"/>
        <w:pageBreakBefore w:val="0"/>
        <w:widowControl/>
        <w:kinsoku/>
        <w:wordWrap/>
        <w:overflowPunct/>
        <w:topLinePunct w:val="0"/>
        <w:autoSpaceDE/>
        <w:autoSpaceDN/>
        <w:bidi w:val="0"/>
        <w:adjustRightInd/>
        <w:snapToGrid/>
        <w:spacing w:after="0" w:line="360" w:lineRule="auto"/>
        <w:ind w:left="240" w:leftChars="109" w:firstLine="280" w:firstLineChars="1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lang w:val="en-US" w:eastAsia="zh-CN"/>
          <w14:ligatures w14:val="none"/>
        </w:rPr>
        <w:t>3.</w:t>
      </w:r>
      <w:r>
        <w:rPr>
          <w:rFonts w:hint="eastAsia" w:ascii="宋体" w:hAnsi="宋体" w:eastAsia="宋体" w:cs="宋体"/>
          <w:b w:val="0"/>
          <w:bCs w:val="0"/>
          <w:color w:val="1A2029"/>
          <w:kern w:val="0"/>
          <w:sz w:val="28"/>
          <w:szCs w:val="28"/>
          <w14:ligatures w14:val="none"/>
        </w:rPr>
        <w:t>投标人发生下列情形之一的，投标保证金不予退还：</w:t>
      </w:r>
      <w:r>
        <w:rPr>
          <w:rFonts w:hint="eastAsia" w:ascii="宋体" w:hAnsi="宋体" w:eastAsia="宋体" w:cs="宋体"/>
          <w:b w:val="0"/>
          <w:bCs w:val="0"/>
          <w:color w:val="1A2029"/>
          <w:kern w:val="0"/>
          <w:sz w:val="28"/>
          <w:szCs w:val="28"/>
          <w14:ligatures w14:val="none"/>
        </w:rPr>
        <w:br w:type="textWrapping"/>
      </w:r>
      <w:r>
        <w:rPr>
          <w:rFonts w:hint="eastAsia" w:ascii="宋体" w:hAnsi="宋体" w:eastAsia="宋体" w:cs="宋体"/>
          <w:b w:val="0"/>
          <w:bCs w:val="0"/>
          <w:color w:val="1A2029"/>
          <w:kern w:val="0"/>
          <w:sz w:val="28"/>
          <w:szCs w:val="28"/>
          <w14:ligatures w14:val="none"/>
        </w:rPr>
        <w:t>（1）投标截止后撤回投标文件的；</w:t>
      </w:r>
      <w:r>
        <w:rPr>
          <w:rFonts w:hint="eastAsia" w:ascii="宋体" w:hAnsi="宋体" w:eastAsia="宋体" w:cs="宋体"/>
          <w:b w:val="0"/>
          <w:bCs w:val="0"/>
          <w:color w:val="1A2029"/>
          <w:kern w:val="0"/>
          <w:sz w:val="28"/>
          <w:szCs w:val="28"/>
          <w14:ligatures w14:val="none"/>
        </w:rPr>
        <w:br w:type="textWrapping"/>
      </w:r>
      <w:r>
        <w:rPr>
          <w:rFonts w:hint="eastAsia" w:ascii="宋体" w:hAnsi="宋体" w:eastAsia="宋体" w:cs="宋体"/>
          <w:b w:val="0"/>
          <w:bCs w:val="0"/>
          <w:color w:val="1A2029"/>
          <w:kern w:val="0"/>
          <w:sz w:val="28"/>
          <w:szCs w:val="28"/>
          <w14:ligatures w14:val="none"/>
        </w:rPr>
        <w:t>（2）中标后无正当理由拒不签订合同的；</w:t>
      </w:r>
      <w:r>
        <w:rPr>
          <w:rFonts w:hint="eastAsia" w:ascii="宋体" w:hAnsi="宋体" w:eastAsia="宋体" w:cs="宋体"/>
          <w:b w:val="0"/>
          <w:bCs w:val="0"/>
          <w:color w:val="1A2029"/>
          <w:kern w:val="0"/>
          <w:sz w:val="28"/>
          <w:szCs w:val="28"/>
          <w14:ligatures w14:val="none"/>
        </w:rPr>
        <w:br w:type="textWrapping"/>
      </w:r>
      <w:r>
        <w:rPr>
          <w:rFonts w:hint="eastAsia" w:ascii="宋体" w:hAnsi="宋体" w:eastAsia="宋体" w:cs="宋体"/>
          <w:b w:val="0"/>
          <w:bCs w:val="0"/>
          <w:color w:val="1A2029"/>
          <w:kern w:val="0"/>
          <w:sz w:val="28"/>
          <w:szCs w:val="28"/>
          <w14:ligatures w14:val="none"/>
        </w:rPr>
        <w:t>（3）投标文件弄虚作假的。</w:t>
      </w:r>
    </w:p>
    <w:p w14:paraId="70B34C4F">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六、投标文件递交</w:t>
      </w:r>
    </w:p>
    <w:p w14:paraId="29835F46">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投标截止时间（开标时间）：2026年9月22日上午10:00</w:t>
      </w:r>
    </w:p>
    <w:p w14:paraId="5B29CFC3">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递交地点：安居区安东大道20号啸驰电气股份有限公司1楼办公室。逾期送达或密封不符合要求的投标文件，招标人予以拒收。</w:t>
      </w:r>
    </w:p>
    <w:p w14:paraId="6E1446E0">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投标文件要求：一式肆份（正本壹份、副本叁份），均须密封并加盖单位公章及法定代表人（或授权委托人）签字。</w:t>
      </w:r>
    </w:p>
    <w:p w14:paraId="1AEFF3D1">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七、开标、评标与定标</w:t>
      </w:r>
    </w:p>
    <w:p w14:paraId="026956BF">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val="0"/>
          <w:bCs w:val="0"/>
          <w:color w:val="1A2029"/>
          <w:kern w:val="0"/>
          <w:sz w:val="28"/>
          <w:szCs w:val="28"/>
          <w14:ligatures w14:val="none"/>
        </w:rPr>
        <w:t>招标人于投标截止时间同一时间、同一地点公开开标。开标、评标程序详见本文件第三部分《评标办法》。中标人确定后，招标人向中标人发出中标通知书，并同时将中标结果通知所有未中标的投标人</w:t>
      </w:r>
      <w:r>
        <w:rPr>
          <w:rFonts w:hint="eastAsia" w:ascii="宋体" w:hAnsi="宋体" w:eastAsia="宋体" w:cs="宋体"/>
          <w:b/>
          <w:bCs/>
          <w:color w:val="1A2029"/>
          <w:kern w:val="0"/>
          <w:sz w:val="28"/>
          <w:szCs w:val="28"/>
          <w14:ligatures w14:val="none"/>
        </w:rPr>
        <w:t>。</w:t>
      </w:r>
    </w:p>
    <w:p w14:paraId="1E318B3F">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八、公告发布媒介</w:t>
      </w:r>
    </w:p>
    <w:p w14:paraId="6DB7A9A8">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本次招标公告在啸驰电气股份有限公司官网、啸驰电气股份有限公司微信公众号发布。</w:t>
      </w:r>
    </w:p>
    <w:p w14:paraId="39F48499">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九、联系方式</w:t>
      </w:r>
    </w:p>
    <w:p w14:paraId="748FB114">
      <w:pPr>
        <w:keepNext w:val="0"/>
        <w:keepLines w:val="0"/>
        <w:pageBreakBefore w:val="0"/>
        <w:widowControl/>
        <w:kinsoku/>
        <w:wordWrap/>
        <w:overflowPunct/>
        <w:topLinePunct w:val="0"/>
        <w:autoSpaceDE/>
        <w:autoSpaceDN/>
        <w:bidi w:val="0"/>
        <w:adjustRightInd/>
        <w:snapToGrid/>
        <w:spacing w:after="0" w:line="360" w:lineRule="auto"/>
        <w:ind w:left="559" w:leftChars="254" w:firstLine="0" w:firstLineChars="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招标人：啸驰（四川）节能科技有限公司</w:t>
      </w:r>
      <w:r>
        <w:rPr>
          <w:rFonts w:hint="eastAsia" w:ascii="宋体" w:hAnsi="宋体" w:eastAsia="宋体" w:cs="宋体"/>
          <w:b w:val="0"/>
          <w:bCs w:val="0"/>
          <w:color w:val="1A2029"/>
          <w:kern w:val="0"/>
          <w:sz w:val="28"/>
          <w:szCs w:val="28"/>
          <w14:ligatures w14:val="none"/>
        </w:rPr>
        <w:br w:type="textWrapping"/>
      </w:r>
      <w:r>
        <w:rPr>
          <w:rFonts w:hint="eastAsia" w:ascii="宋体" w:hAnsi="宋体" w:eastAsia="宋体" w:cs="宋体"/>
          <w:b w:val="0"/>
          <w:bCs w:val="0"/>
          <w:color w:val="1A2029"/>
          <w:kern w:val="0"/>
          <w:sz w:val="28"/>
          <w:szCs w:val="28"/>
          <w14:ligatures w14:val="none"/>
        </w:rPr>
        <w:t>地址：安居区安东大道20号</w:t>
      </w:r>
      <w:r>
        <w:rPr>
          <w:rFonts w:hint="eastAsia" w:ascii="宋体" w:hAnsi="宋体" w:eastAsia="宋体" w:cs="宋体"/>
          <w:b w:val="0"/>
          <w:bCs w:val="0"/>
          <w:color w:val="1A2029"/>
          <w:kern w:val="0"/>
          <w:sz w:val="28"/>
          <w:szCs w:val="28"/>
          <w14:ligatures w14:val="none"/>
        </w:rPr>
        <w:br w:type="textWrapping"/>
      </w:r>
      <w:r>
        <w:rPr>
          <w:rFonts w:hint="eastAsia" w:ascii="宋体" w:hAnsi="宋体" w:eastAsia="宋体" w:cs="宋体"/>
          <w:b w:val="0"/>
          <w:bCs w:val="0"/>
          <w:color w:val="1A2029"/>
          <w:kern w:val="0"/>
          <w:sz w:val="28"/>
          <w:szCs w:val="28"/>
          <w14:ligatures w14:val="none"/>
        </w:rPr>
        <w:t>联系人：余俊　联系电话：13778708828</w:t>
      </w:r>
      <w:r>
        <w:rPr>
          <w:rFonts w:hint="eastAsia" w:ascii="宋体" w:hAnsi="宋体" w:eastAsia="宋体" w:cs="宋体"/>
          <w:b w:val="0"/>
          <w:bCs w:val="0"/>
          <w:color w:val="1A2029"/>
          <w:kern w:val="0"/>
          <w:sz w:val="28"/>
          <w:szCs w:val="28"/>
          <w14:ligatures w14:val="none"/>
        </w:rPr>
        <w:br w:type="textWrapping"/>
      </w:r>
      <w:r>
        <w:rPr>
          <w:rFonts w:hint="eastAsia" w:ascii="宋体" w:hAnsi="宋体" w:eastAsia="宋体" w:cs="宋体"/>
          <w:b w:val="0"/>
          <w:bCs w:val="0"/>
          <w:color w:val="1A2029"/>
          <w:kern w:val="0"/>
          <w:sz w:val="28"/>
          <w:szCs w:val="28"/>
          <w14:ligatures w14:val="none"/>
        </w:rPr>
        <w:t>电子邮箱：info@schorch.com.cn</w:t>
      </w:r>
    </w:p>
    <w:p w14:paraId="478941C1">
      <w:pPr>
        <w:keepNext w:val="0"/>
        <w:keepLines w:val="0"/>
        <w:pageBreakBefore w:val="0"/>
        <w:widowControl/>
        <w:kinsoku/>
        <w:wordWrap/>
        <w:overflowPunct/>
        <w:topLinePunct w:val="0"/>
        <w:autoSpaceDE/>
        <w:autoSpaceDN/>
        <w:bidi w:val="0"/>
        <w:adjustRightInd/>
        <w:snapToGrid/>
        <w:spacing w:after="0" w:line="360" w:lineRule="auto"/>
        <w:ind w:firstLine="562" w:firstLineChars="200"/>
        <w:jc w:val="right"/>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啸驰（四川）节能科技有限公司</w:t>
      </w:r>
      <w:r>
        <w:rPr>
          <w:rFonts w:hint="eastAsia" w:ascii="宋体" w:hAnsi="宋体" w:eastAsia="宋体" w:cs="宋体"/>
          <w:b/>
          <w:bCs/>
          <w:color w:val="1A2029"/>
          <w:kern w:val="0"/>
          <w:sz w:val="28"/>
          <w:szCs w:val="28"/>
          <w14:ligatures w14:val="none"/>
        </w:rPr>
        <w:br w:type="textWrapping"/>
      </w:r>
      <w:r>
        <w:rPr>
          <w:rFonts w:hint="eastAsia" w:ascii="宋体" w:hAnsi="宋体" w:eastAsia="宋体" w:cs="宋体"/>
          <w:b/>
          <w:bCs/>
          <w:color w:val="1A2029"/>
          <w:kern w:val="0"/>
          <w:sz w:val="28"/>
          <w:szCs w:val="28"/>
          <w14:ligatures w14:val="none"/>
        </w:rPr>
        <w:t>2026年9月10日</w:t>
      </w:r>
    </w:p>
    <w:p w14:paraId="032DB219">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47C5CAD1">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4762BD0B">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62080622">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2E737DBD">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16A9EDC5">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236C97F8">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097690DF">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62EAF717">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6DCAB58F">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790A716C">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205841AE">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26FDA1B5">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6F757E27">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34593E7F">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1F309D6F">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77AC5BC2">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第二部分 投标人须知</w:t>
      </w:r>
    </w:p>
    <w:p w14:paraId="2A4908BB">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一、总则</w:t>
      </w:r>
    </w:p>
    <w:p w14:paraId="4EE0ACF3">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1.1 本招标文件仅适用于本项目建设地点范围内的方桩施工招标。</w:t>
      </w:r>
    </w:p>
    <w:p w14:paraId="1C57B6E7">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1.2 投标人应认真阅读招标文件全部内容，充分了解本项目的要求。投标人不按招标文件要求编制投标文件的，其投标文件将被拒绝。</w:t>
      </w:r>
    </w:p>
    <w:p w14:paraId="6C10807A">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1.3 投标人自行承担参与投标所发生的全部费用。</w:t>
      </w:r>
    </w:p>
    <w:p w14:paraId="501DA9E0">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二、招标文件的澄清与修改</w:t>
      </w:r>
    </w:p>
    <w:p w14:paraId="1D0AE340">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2.1 招标人对已发出的招标文件确需澄清或修改的，于投标截止时间3日前以书面形式通知所有获取招标文件的投标人；澄清或修改的内容为招标文件的组成部分。</w:t>
      </w:r>
    </w:p>
    <w:p w14:paraId="45BCBECE">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2.2 澄清或修改的内容可能影响投标文件编制的，投标截止时间相应顺延。</w:t>
      </w:r>
    </w:p>
    <w:p w14:paraId="74F0B348">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三、投标报价</w:t>
      </w:r>
    </w:p>
    <w:p w14:paraId="511AD82D">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bCs/>
          <w:color w:val="1A2029"/>
          <w:kern w:val="0"/>
          <w:sz w:val="28"/>
          <w:szCs w:val="28"/>
          <w14:ligatures w14:val="none"/>
        </w:rPr>
        <w:t>3</w:t>
      </w:r>
      <w:r>
        <w:rPr>
          <w:rFonts w:hint="eastAsia" w:ascii="宋体" w:hAnsi="宋体" w:eastAsia="宋体" w:cs="宋体"/>
          <w:b w:val="0"/>
          <w:bCs w:val="0"/>
          <w:color w:val="1A2029"/>
          <w:kern w:val="0"/>
          <w:sz w:val="28"/>
          <w:szCs w:val="28"/>
          <w14:ligatures w14:val="none"/>
        </w:rPr>
        <w:t>.1 投标报价采用单价合同方式：</w:t>
      </w:r>
    </w:p>
    <w:p w14:paraId="0DE41C54">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桩身、打桩、接桩等按单价×实际完成并经确认的工程量结算；</w:t>
      </w:r>
    </w:p>
    <w:p w14:paraId="031F7E2A">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场地清表及渣土外运、桩尖按总价包干；</w:t>
      </w:r>
    </w:p>
    <w:p w14:paraId="6A37B4D9">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报价为完成招标范围内全部工作的固定综合价格，已包含材料、运输、人工、机械、措施费、管理费、利润、税金、安全文明施工费、施工资料及配合检测等一切费用。</w:t>
      </w:r>
    </w:p>
    <w:p w14:paraId="7621CD63">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3.2 工程量偏差调整规则：</w:t>
      </w:r>
    </w:p>
    <w:p w14:paraId="09D136AB">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实际总桩长与预估量4716m偏差在±10%以内的，按投标单价结算，单价不作调整；</w:t>
      </w:r>
    </w:p>
    <w:p w14:paraId="3A2B0095">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偏差超过±10%的部分，双方可协商调整，但调价幅度不超过投标单价的±5%；</w:t>
      </w:r>
    </w:p>
    <w:p w14:paraId="1EC23264">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实际桩数、接桩数量据实结算。接桩费用按实际发生接头数量计价（接头数量以监理和招标人现场确认为准）。</w:t>
      </w:r>
    </w:p>
    <w:p w14:paraId="1B13ED23">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3.3 风险分担原则：</w:t>
      </w:r>
    </w:p>
    <w:p w14:paraId="667D2424">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投标人应自行踏勘现场、研读地勘报告，一般性地质变化、常规地下障碍物（如浅层杂填土中的块石、建筑垃圾）的清除费用已含在报价内；</w:t>
      </w:r>
    </w:p>
    <w:p w14:paraId="69E05D68">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地下存在招标人未披露的重大障碍物（如既有基础、管线、孤石群），经监理及招标人确认后，采用签证方式按实补偿（人工挖除按400元/工日、机械配合按市场价租赁计），并顺延工期；</w:t>
      </w:r>
    </w:p>
    <w:p w14:paraId="5F6C40F0">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因持力层异常导致成桩深度显著变化（单桩实际桩长偏差超过±20%），该部分超出/减少的桩长按投标单价据实结算；</w:t>
      </w:r>
    </w:p>
    <w:p w14:paraId="57040F14">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出现废桩、断桩，经鉴定属施工工艺原因的，由投标人自行承担返工费用；属地质条件特殊原因且投标人已尽合理注意义务的，由双方按责任比例分担，并办理签证。</w:t>
      </w:r>
    </w:p>
    <w:p w14:paraId="6C3E9E9C">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3.4 投标报价不得低于成本价。</w:t>
      </w:r>
    </w:p>
    <w:p w14:paraId="51C34E94">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评标委员会认为报价明显低于其他投标报价，可能低于其个别成本的，有权要求投标人书面说明并提供证明材料；不能合理说明的，按废标处理。</w:t>
      </w:r>
    </w:p>
    <w:p w14:paraId="4CAA5536">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四、投标文件组成</w:t>
      </w:r>
    </w:p>
    <w:p w14:paraId="3D93E377">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投标文件应包含以下内容（缺一不可）：</w:t>
      </w:r>
    </w:p>
    <w:p w14:paraId="6D8A26D1">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投标函及投标函附录（格式见附件一）；</w:t>
      </w:r>
    </w:p>
    <w:p w14:paraId="680010EA">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法定代表人身份证明或授权委托书；</w:t>
      </w:r>
    </w:p>
    <w:p w14:paraId="6595DDE9">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投标报价表（按本文件第五部分格式填报）；</w:t>
      </w:r>
    </w:p>
    <w:p w14:paraId="416F2BFB">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施工组织设计（含进度计划、桩机选型、质量控制、安全文明施工措施、工期保障措施）；</w:t>
      </w:r>
    </w:p>
    <w:p w14:paraId="60F70B15">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资格证明文件（营业执照、资质证书、安全生产许可证、建造师证书及B证、无在建项目承诺书、同类业绩证明）；</w:t>
      </w:r>
    </w:p>
    <w:p w14:paraId="007108BD">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信用承诺书（承诺未被列入失信被执行人名单等）。</w:t>
      </w:r>
    </w:p>
    <w:p w14:paraId="0B68E18D">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五、合同签订与履约担保</w:t>
      </w:r>
    </w:p>
    <w:p w14:paraId="51A19C1D">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5.1 中标人应于收到中标通知书之日起7日内，按招标文件确定的条款与招标人签订合同。</w:t>
      </w:r>
    </w:p>
    <w:p w14:paraId="3FEEEB3A">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5.2 中标人应在签订合同前向招标人提交履约保证金，金额为合同价的5%，可采用银行转账或保函形式。履约保证金于工程竣工验收合格且资料移交完成后14日内无息退还。</w:t>
      </w:r>
    </w:p>
    <w:p w14:paraId="4BC2D468">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val="0"/>
          <w:bCs w:val="0"/>
          <w:color w:val="1A2029"/>
          <w:kern w:val="0"/>
          <w:sz w:val="28"/>
          <w:szCs w:val="28"/>
          <w14:ligatures w14:val="none"/>
        </w:rPr>
        <w:t>5.3 中标人无正当理由拒签合同的，招标人取消其中标资格，投标保证金不予退还，并可顺延至排名第二的候选人为中标人。</w:t>
      </w:r>
    </w:p>
    <w:p w14:paraId="0C5B6670">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六、付款方式</w:t>
      </w:r>
    </w:p>
    <w:p w14:paraId="29758332">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6.1 工程款支付按以下节点执行（凭合规增值税发票支付）：</w:t>
      </w:r>
    </w:p>
    <w:tbl>
      <w:tblPr>
        <w:tblStyle w:val="14"/>
        <w:tblW w:w="0" w:type="auto"/>
        <w:tblInd w:w="-2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323"/>
        <w:gridCol w:w="1736"/>
        <w:gridCol w:w="4508"/>
      </w:tblGrid>
      <w:tr w14:paraId="25B2C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rPr>
        <w:tc>
          <w:tcPr>
            <w:tcW w:w="2325" w:type="dxa"/>
            <w:tcMar>
              <w:top w:w="180" w:type="dxa"/>
              <w:left w:w="180" w:type="dxa"/>
              <w:bottom w:w="180" w:type="dxa"/>
              <w:right w:w="180" w:type="dxa"/>
            </w:tcMar>
          </w:tcPr>
          <w:p w14:paraId="1C36EAF6">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付款节点</w:t>
            </w:r>
          </w:p>
        </w:tc>
        <w:tc>
          <w:tcPr>
            <w:tcW w:w="1738" w:type="dxa"/>
            <w:tcMar>
              <w:top w:w="180" w:type="dxa"/>
              <w:left w:w="180" w:type="dxa"/>
              <w:bottom w:w="180" w:type="dxa"/>
              <w:right w:w="180" w:type="dxa"/>
            </w:tcMar>
          </w:tcPr>
          <w:p w14:paraId="01E09206">
            <w:pPr>
              <w:keepNext w:val="0"/>
              <w:keepLines w:val="0"/>
              <w:pageBreakBefore w:val="0"/>
              <w:widowControl/>
              <w:kinsoku/>
              <w:wordWrap/>
              <w:overflowPunct/>
              <w:topLinePunct w:val="0"/>
              <w:autoSpaceDE/>
              <w:autoSpaceDN/>
              <w:bidi w:val="0"/>
              <w:adjustRightInd/>
              <w:snapToGrid/>
              <w:spacing w:after="0" w:line="360" w:lineRule="auto"/>
              <w:jc w:val="center"/>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支付比例</w:t>
            </w:r>
          </w:p>
        </w:tc>
        <w:tc>
          <w:tcPr>
            <w:tcW w:w="4514" w:type="dxa"/>
            <w:tcMar>
              <w:top w:w="180" w:type="dxa"/>
              <w:left w:w="180" w:type="dxa"/>
              <w:bottom w:w="180" w:type="dxa"/>
              <w:right w:w="180" w:type="dxa"/>
            </w:tcMar>
          </w:tcPr>
          <w:p w14:paraId="1F4E9B91">
            <w:pPr>
              <w:keepNext w:val="0"/>
              <w:keepLines w:val="0"/>
              <w:pageBreakBefore w:val="0"/>
              <w:widowControl/>
              <w:kinsoku/>
              <w:wordWrap/>
              <w:overflowPunct/>
              <w:topLinePunct w:val="0"/>
              <w:autoSpaceDE/>
              <w:autoSpaceDN/>
              <w:bidi w:val="0"/>
              <w:adjustRightInd/>
              <w:snapToGrid/>
              <w:spacing w:after="0" w:line="360" w:lineRule="auto"/>
              <w:ind w:firstLine="560" w:firstLineChars="200"/>
              <w:jc w:val="center"/>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支付条件</w:t>
            </w:r>
          </w:p>
        </w:tc>
      </w:tr>
      <w:tr w14:paraId="66E8C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325" w:type="dxa"/>
            <w:tcMar>
              <w:top w:w="180" w:type="dxa"/>
              <w:left w:w="180" w:type="dxa"/>
              <w:bottom w:w="180" w:type="dxa"/>
              <w:right w:w="180" w:type="dxa"/>
            </w:tcMar>
          </w:tcPr>
          <w:p w14:paraId="74B9BA61">
            <w:pPr>
              <w:keepNext w:val="0"/>
              <w:keepLines w:val="0"/>
              <w:pageBreakBefore w:val="0"/>
              <w:widowControl/>
              <w:kinsoku/>
              <w:wordWrap/>
              <w:overflowPunct/>
              <w:topLinePunct w:val="0"/>
              <w:autoSpaceDE/>
              <w:autoSpaceDN/>
              <w:bidi w:val="0"/>
              <w:adjustRightInd/>
              <w:snapToGrid/>
              <w:spacing w:after="0" w:line="360" w:lineRule="auto"/>
              <w:jc w:val="center"/>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第一期</w:t>
            </w:r>
          </w:p>
          <w:p w14:paraId="56097E97">
            <w:pPr>
              <w:keepNext w:val="0"/>
              <w:keepLines w:val="0"/>
              <w:pageBreakBefore w:val="0"/>
              <w:widowControl/>
              <w:kinsoku/>
              <w:wordWrap/>
              <w:overflowPunct/>
              <w:topLinePunct w:val="0"/>
              <w:autoSpaceDE/>
              <w:autoSpaceDN/>
              <w:bidi w:val="0"/>
              <w:adjustRightInd/>
              <w:snapToGrid/>
              <w:spacing w:after="0" w:line="360" w:lineRule="auto"/>
              <w:jc w:val="center"/>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（进场款）</w:t>
            </w:r>
          </w:p>
        </w:tc>
        <w:tc>
          <w:tcPr>
            <w:tcW w:w="1738" w:type="dxa"/>
            <w:tcMar>
              <w:top w:w="180" w:type="dxa"/>
              <w:left w:w="180" w:type="dxa"/>
              <w:bottom w:w="180" w:type="dxa"/>
              <w:right w:w="180" w:type="dxa"/>
            </w:tcMar>
          </w:tcPr>
          <w:p w14:paraId="454A5048">
            <w:pPr>
              <w:keepNext w:val="0"/>
              <w:keepLines w:val="0"/>
              <w:pageBreakBefore w:val="0"/>
              <w:widowControl/>
              <w:kinsoku/>
              <w:wordWrap/>
              <w:overflowPunct/>
              <w:topLinePunct w:val="0"/>
              <w:autoSpaceDE/>
              <w:autoSpaceDN/>
              <w:bidi w:val="0"/>
              <w:adjustRightInd/>
              <w:snapToGrid/>
              <w:spacing w:after="0" w:line="360" w:lineRule="auto"/>
              <w:jc w:val="center"/>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合同价30%</w:t>
            </w:r>
          </w:p>
        </w:tc>
        <w:tc>
          <w:tcPr>
            <w:tcW w:w="4514" w:type="dxa"/>
            <w:tcMar>
              <w:top w:w="180" w:type="dxa"/>
              <w:left w:w="180" w:type="dxa"/>
              <w:bottom w:w="180" w:type="dxa"/>
              <w:right w:w="180" w:type="dxa"/>
            </w:tcMar>
          </w:tcPr>
          <w:p w14:paraId="4EF6A36F">
            <w:pPr>
              <w:keepNext w:val="0"/>
              <w:keepLines w:val="0"/>
              <w:pageBreakBefore w:val="0"/>
              <w:widowControl/>
              <w:kinsoku/>
              <w:wordWrap/>
              <w:overflowPunct/>
              <w:topLinePunct w:val="0"/>
              <w:autoSpaceDE/>
              <w:autoSpaceDN/>
              <w:bidi w:val="0"/>
              <w:adjustRightInd/>
              <w:snapToGrid/>
              <w:spacing w:after="0" w:line="360" w:lineRule="auto"/>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合同签订、桩机进场并完成测量放线后</w:t>
            </w:r>
          </w:p>
        </w:tc>
      </w:tr>
      <w:tr w14:paraId="39FA1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325" w:type="dxa"/>
            <w:tcMar>
              <w:top w:w="180" w:type="dxa"/>
              <w:left w:w="180" w:type="dxa"/>
              <w:bottom w:w="180" w:type="dxa"/>
              <w:right w:w="180" w:type="dxa"/>
            </w:tcMar>
          </w:tcPr>
          <w:p w14:paraId="1A4EA84B">
            <w:pPr>
              <w:keepNext w:val="0"/>
              <w:keepLines w:val="0"/>
              <w:pageBreakBefore w:val="0"/>
              <w:widowControl/>
              <w:kinsoku/>
              <w:wordWrap/>
              <w:overflowPunct/>
              <w:topLinePunct w:val="0"/>
              <w:autoSpaceDE/>
              <w:autoSpaceDN/>
              <w:bidi w:val="0"/>
              <w:adjustRightInd/>
              <w:snapToGrid/>
              <w:spacing w:after="0" w:line="360" w:lineRule="auto"/>
              <w:jc w:val="center"/>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第二期</w:t>
            </w:r>
          </w:p>
          <w:p w14:paraId="0BE2B941">
            <w:pPr>
              <w:keepNext w:val="0"/>
              <w:keepLines w:val="0"/>
              <w:pageBreakBefore w:val="0"/>
              <w:widowControl/>
              <w:kinsoku/>
              <w:wordWrap/>
              <w:overflowPunct/>
              <w:topLinePunct w:val="0"/>
              <w:autoSpaceDE/>
              <w:autoSpaceDN/>
              <w:bidi w:val="0"/>
              <w:adjustRightInd/>
              <w:snapToGrid/>
              <w:spacing w:after="0" w:line="360" w:lineRule="auto"/>
              <w:jc w:val="center"/>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（进度款）</w:t>
            </w:r>
          </w:p>
        </w:tc>
        <w:tc>
          <w:tcPr>
            <w:tcW w:w="1738" w:type="dxa"/>
            <w:tcMar>
              <w:top w:w="180" w:type="dxa"/>
              <w:left w:w="180" w:type="dxa"/>
              <w:bottom w:w="180" w:type="dxa"/>
              <w:right w:w="180" w:type="dxa"/>
            </w:tcMar>
          </w:tcPr>
          <w:p w14:paraId="13E9BAC6">
            <w:pPr>
              <w:keepNext w:val="0"/>
              <w:keepLines w:val="0"/>
              <w:pageBreakBefore w:val="0"/>
              <w:widowControl/>
              <w:kinsoku/>
              <w:wordWrap/>
              <w:overflowPunct/>
              <w:topLinePunct w:val="0"/>
              <w:autoSpaceDE/>
              <w:autoSpaceDN/>
              <w:bidi w:val="0"/>
              <w:adjustRightInd/>
              <w:snapToGrid/>
              <w:spacing w:after="0" w:line="360" w:lineRule="auto"/>
              <w:jc w:val="center"/>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合同价30%</w:t>
            </w:r>
          </w:p>
        </w:tc>
        <w:tc>
          <w:tcPr>
            <w:tcW w:w="4514" w:type="dxa"/>
            <w:tcMar>
              <w:top w:w="180" w:type="dxa"/>
              <w:left w:w="180" w:type="dxa"/>
              <w:bottom w:w="180" w:type="dxa"/>
              <w:right w:w="180" w:type="dxa"/>
            </w:tcMar>
          </w:tcPr>
          <w:p w14:paraId="08AEEE56">
            <w:pPr>
              <w:keepNext w:val="0"/>
              <w:keepLines w:val="0"/>
              <w:pageBreakBefore w:val="0"/>
              <w:widowControl/>
              <w:kinsoku/>
              <w:wordWrap/>
              <w:overflowPunct/>
              <w:topLinePunct w:val="0"/>
              <w:autoSpaceDE/>
              <w:autoSpaceDN/>
              <w:bidi w:val="0"/>
              <w:adjustRightInd/>
              <w:snapToGrid/>
              <w:spacing w:after="0" w:line="360" w:lineRule="auto"/>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成桩量达到合同预估量的50%</w:t>
            </w:r>
          </w:p>
        </w:tc>
      </w:tr>
      <w:tr w14:paraId="44E91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325" w:type="dxa"/>
            <w:tcMar>
              <w:top w:w="180" w:type="dxa"/>
              <w:left w:w="180" w:type="dxa"/>
              <w:bottom w:w="180" w:type="dxa"/>
              <w:right w:w="180" w:type="dxa"/>
            </w:tcMar>
          </w:tcPr>
          <w:p w14:paraId="24A2F037">
            <w:pPr>
              <w:keepNext w:val="0"/>
              <w:keepLines w:val="0"/>
              <w:pageBreakBefore w:val="0"/>
              <w:widowControl/>
              <w:kinsoku/>
              <w:wordWrap/>
              <w:overflowPunct/>
              <w:topLinePunct w:val="0"/>
              <w:autoSpaceDE/>
              <w:autoSpaceDN/>
              <w:bidi w:val="0"/>
              <w:adjustRightInd/>
              <w:snapToGrid/>
              <w:spacing w:after="0" w:line="360" w:lineRule="auto"/>
              <w:jc w:val="center"/>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第三期</w:t>
            </w:r>
          </w:p>
          <w:p w14:paraId="4ABAEA03">
            <w:pPr>
              <w:keepNext w:val="0"/>
              <w:keepLines w:val="0"/>
              <w:pageBreakBefore w:val="0"/>
              <w:widowControl/>
              <w:kinsoku/>
              <w:wordWrap/>
              <w:overflowPunct/>
              <w:topLinePunct w:val="0"/>
              <w:autoSpaceDE/>
              <w:autoSpaceDN/>
              <w:bidi w:val="0"/>
              <w:adjustRightInd/>
              <w:snapToGrid/>
              <w:spacing w:after="0" w:line="360" w:lineRule="auto"/>
              <w:jc w:val="center"/>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（完工款）</w:t>
            </w:r>
          </w:p>
        </w:tc>
        <w:tc>
          <w:tcPr>
            <w:tcW w:w="1738" w:type="dxa"/>
            <w:tcMar>
              <w:top w:w="180" w:type="dxa"/>
              <w:left w:w="180" w:type="dxa"/>
              <w:bottom w:w="180" w:type="dxa"/>
              <w:right w:w="180" w:type="dxa"/>
            </w:tcMar>
          </w:tcPr>
          <w:p w14:paraId="7FB05A50">
            <w:pPr>
              <w:keepNext w:val="0"/>
              <w:keepLines w:val="0"/>
              <w:pageBreakBefore w:val="0"/>
              <w:widowControl/>
              <w:kinsoku/>
              <w:wordWrap/>
              <w:overflowPunct/>
              <w:topLinePunct w:val="0"/>
              <w:autoSpaceDE/>
              <w:autoSpaceDN/>
              <w:bidi w:val="0"/>
              <w:adjustRightInd/>
              <w:snapToGrid/>
              <w:spacing w:after="0" w:line="360" w:lineRule="auto"/>
              <w:jc w:val="center"/>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合同价30%</w:t>
            </w:r>
          </w:p>
        </w:tc>
        <w:tc>
          <w:tcPr>
            <w:tcW w:w="4514" w:type="dxa"/>
            <w:tcMar>
              <w:top w:w="180" w:type="dxa"/>
              <w:left w:w="180" w:type="dxa"/>
              <w:bottom w:w="180" w:type="dxa"/>
              <w:right w:w="180" w:type="dxa"/>
            </w:tcMar>
          </w:tcPr>
          <w:p w14:paraId="2B85BE7A">
            <w:pPr>
              <w:keepNext w:val="0"/>
              <w:keepLines w:val="0"/>
              <w:pageBreakBefore w:val="0"/>
              <w:widowControl/>
              <w:kinsoku/>
              <w:wordWrap/>
              <w:overflowPunct/>
              <w:topLinePunct w:val="0"/>
              <w:autoSpaceDE/>
              <w:autoSpaceDN/>
              <w:bidi w:val="0"/>
              <w:adjustRightInd/>
              <w:snapToGrid/>
              <w:spacing w:after="0" w:line="360" w:lineRule="auto"/>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全部成桩完成、桩身完整性检测及静载试验合格</w:t>
            </w:r>
          </w:p>
        </w:tc>
      </w:tr>
      <w:tr w14:paraId="22243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325" w:type="dxa"/>
            <w:tcMar>
              <w:top w:w="180" w:type="dxa"/>
              <w:left w:w="180" w:type="dxa"/>
              <w:bottom w:w="180" w:type="dxa"/>
              <w:right w:w="180" w:type="dxa"/>
            </w:tcMar>
          </w:tcPr>
          <w:p w14:paraId="4232454F">
            <w:pPr>
              <w:keepNext w:val="0"/>
              <w:keepLines w:val="0"/>
              <w:pageBreakBefore w:val="0"/>
              <w:widowControl/>
              <w:kinsoku/>
              <w:wordWrap/>
              <w:overflowPunct/>
              <w:topLinePunct w:val="0"/>
              <w:autoSpaceDE/>
              <w:autoSpaceDN/>
              <w:bidi w:val="0"/>
              <w:adjustRightInd/>
              <w:snapToGrid/>
              <w:spacing w:after="0" w:line="360" w:lineRule="auto"/>
              <w:jc w:val="center"/>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第四期</w:t>
            </w:r>
          </w:p>
          <w:p w14:paraId="3DC25512">
            <w:pPr>
              <w:keepNext w:val="0"/>
              <w:keepLines w:val="0"/>
              <w:pageBreakBefore w:val="0"/>
              <w:widowControl/>
              <w:kinsoku/>
              <w:wordWrap/>
              <w:overflowPunct/>
              <w:topLinePunct w:val="0"/>
              <w:autoSpaceDE/>
              <w:autoSpaceDN/>
              <w:bidi w:val="0"/>
              <w:adjustRightInd/>
              <w:snapToGrid/>
              <w:spacing w:after="0" w:line="360" w:lineRule="auto"/>
              <w:jc w:val="center"/>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（验收款）</w:t>
            </w:r>
          </w:p>
        </w:tc>
        <w:tc>
          <w:tcPr>
            <w:tcW w:w="1738" w:type="dxa"/>
            <w:tcMar>
              <w:top w:w="180" w:type="dxa"/>
              <w:left w:w="180" w:type="dxa"/>
              <w:bottom w:w="180" w:type="dxa"/>
              <w:right w:w="180" w:type="dxa"/>
            </w:tcMar>
          </w:tcPr>
          <w:p w14:paraId="63466117">
            <w:pPr>
              <w:keepNext w:val="0"/>
              <w:keepLines w:val="0"/>
              <w:pageBreakBefore w:val="0"/>
              <w:widowControl/>
              <w:kinsoku/>
              <w:wordWrap/>
              <w:overflowPunct/>
              <w:topLinePunct w:val="0"/>
              <w:autoSpaceDE/>
              <w:autoSpaceDN/>
              <w:bidi w:val="0"/>
              <w:adjustRightInd/>
              <w:snapToGrid/>
              <w:spacing w:after="0" w:line="360" w:lineRule="auto"/>
              <w:jc w:val="center"/>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合同价10%</w:t>
            </w:r>
          </w:p>
        </w:tc>
        <w:tc>
          <w:tcPr>
            <w:tcW w:w="4514" w:type="dxa"/>
            <w:tcMar>
              <w:top w:w="180" w:type="dxa"/>
              <w:left w:w="180" w:type="dxa"/>
              <w:bottom w:w="180" w:type="dxa"/>
              <w:right w:w="180" w:type="dxa"/>
            </w:tcMar>
          </w:tcPr>
          <w:p w14:paraId="1E07891F">
            <w:pPr>
              <w:keepNext w:val="0"/>
              <w:keepLines w:val="0"/>
              <w:pageBreakBefore w:val="0"/>
              <w:widowControl/>
              <w:kinsoku/>
              <w:wordWrap/>
              <w:overflowPunct/>
              <w:topLinePunct w:val="0"/>
              <w:autoSpaceDE/>
              <w:autoSpaceDN/>
              <w:bidi w:val="0"/>
              <w:adjustRightInd/>
              <w:snapToGrid/>
              <w:spacing w:after="0" w:line="360" w:lineRule="auto"/>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竣工资料移交完成、通过竣工验收</w:t>
            </w:r>
          </w:p>
        </w:tc>
      </w:tr>
    </w:tbl>
    <w:p w14:paraId="6210C53D">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6.2 质保期：</w:t>
      </w:r>
      <w:r>
        <w:rPr>
          <w:rFonts w:hint="eastAsia" w:ascii="宋体" w:hAnsi="宋体" w:eastAsia="宋体" w:cs="宋体"/>
          <w:b w:val="0"/>
          <w:bCs w:val="0"/>
          <w:color w:val="1A2029"/>
          <w:kern w:val="0"/>
          <w:sz w:val="28"/>
          <w:szCs w:val="28"/>
          <w14:ligatures w14:val="none"/>
        </w:rPr>
        <w:t>自竣工验收合格之日起12个月，质保期内出现桩基质量问题的，中标人免费维修；质保期满无质量问题，质量保证金（合同价3%，从验收款中扣留）14日内无息退还。</w:t>
      </w:r>
    </w:p>
    <w:p w14:paraId="386BA960">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七、工期与延误</w:t>
      </w:r>
    </w:p>
    <w:p w14:paraId="154D9727">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7.1 总工期50日历天（成桩），检测及验收30日历天，详见第一部分。</w:t>
      </w:r>
    </w:p>
    <w:p w14:paraId="5CAC6D63">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7.2 因投标人原因延误的，每延误1日历天，按合同价的0.5‰计取违约金，累计不超过合同价的5%；延误超过15日历天的，招标人有权解除合同并另行组织施工，损失由中标人承担。</w:t>
      </w:r>
    </w:p>
    <w:p w14:paraId="5DED4DF9">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7.3 因招标人原因（场地移交延误、设计变更、未及时支付工程款等）导致延误的，工期相应顺延，顺延期间投标人不承担违约责任。</w:t>
      </w:r>
    </w:p>
    <w:p w14:paraId="12140F06">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4209CEB9">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3BF4EA52">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662EFD5D">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3EB4E441">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5A74A3AF">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695598B8">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21C03054">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796E1080">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372122F0">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6AB07AF6">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00A25A81">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6C058B0B">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6E536C9E">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5D28063D">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32E69425">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3C9CD6CA">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1D9ECB9E">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4D633C1B">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73D52F95">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第三部分 评标办法</w:t>
      </w:r>
    </w:p>
    <w:p w14:paraId="548F5712">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一、评标组织</w:t>
      </w:r>
    </w:p>
    <w:p w14:paraId="1A0C359E">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val="0"/>
          <w:bCs w:val="0"/>
          <w:color w:val="1A2029"/>
          <w:kern w:val="0"/>
          <w:sz w:val="28"/>
          <w:szCs w:val="28"/>
          <w14:ligatures w14:val="none"/>
        </w:rPr>
        <w:t>招标人依法组建评标委员会，由招标人企业负责人，3人以上单数组成，负责评标工作。</w:t>
      </w:r>
    </w:p>
    <w:p w14:paraId="6171AD56">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二、评标办法</w:t>
      </w:r>
    </w:p>
    <w:p w14:paraId="6113AC42">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本项目采用经评审的最低投标价法：</w:t>
      </w:r>
    </w:p>
    <w:p w14:paraId="4AC44F05">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资格性审查：对投标人资格条件进行审查，不满足资格要求的作废标处理；</w:t>
      </w:r>
    </w:p>
    <w:p w14:paraId="681853FF">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符合性审查：审查投标文件的有效性、完整性、响应性，存在下列情形之一的作废标处理：</w:t>
      </w:r>
    </w:p>
    <w:p w14:paraId="085B4E08">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投标文件未经法定代表人或授权委托人签字并加盖公章的；</w:t>
      </w:r>
    </w:p>
    <w:p w14:paraId="31CD4E11">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投标报价表关键内容填写不全、字迹模糊无法辨认的；</w:t>
      </w:r>
    </w:p>
    <w:p w14:paraId="2C38AEC1">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投标报价高于预估总价控制值（781,480.00元）的；</w:t>
      </w:r>
    </w:p>
    <w:p w14:paraId="1594EE05">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报价明显低于成本且不能合理说明的；</w:t>
      </w:r>
    </w:p>
    <w:p w14:paraId="0D7BE95F">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投标文件出现前后矛盾且拒不澄清确认的；</w:t>
      </w:r>
    </w:p>
    <w:p w14:paraId="65B493C9">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投标人弄虚作假的；</w:t>
      </w:r>
    </w:p>
    <w:p w14:paraId="5B9681A6">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价格评审：对通过审查的投标文件，按投标报价（合计）由低到高排序；报价相同的，按施工组织设计优劣排序；</w:t>
      </w:r>
    </w:p>
    <w:p w14:paraId="37F8B245">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推荐中标候选人：评标委员会按排序推荐1~3名中标候选人，招标人原则上确定排名第一的候选人为中标人；排名第一的候选人放弃中标或被取消资格的，依次递补。</w:t>
      </w:r>
    </w:p>
    <w:p w14:paraId="5ADBC94C">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三、廉洁与回避</w:t>
      </w:r>
    </w:p>
    <w:p w14:paraId="3CC64658">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评标人员与投标人存在利害关系的应主动回避。任何人不得向投标人泄露评审情况，不得接受投标人任何形式的利益输送。</w:t>
      </w:r>
    </w:p>
    <w:p w14:paraId="1D8580BA">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第四部分 合同主要条款</w:t>
      </w:r>
    </w:p>
    <w:p w14:paraId="25A8227C">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（签订合同时使用正规建设工程施工合同文本，以下为主要约定条款，与招标文件不一致处以本部分为准）</w:t>
      </w:r>
    </w:p>
    <w:p w14:paraId="3E3FAA64">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发包人：啸驰（四川）节能科技有限公司；承包人：中标人。</w:t>
      </w:r>
    </w:p>
    <w:p w14:paraId="2B7892C6">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承包方式：单价合同（部分总价包干项见报价表），据实结算。</w:t>
      </w:r>
    </w:p>
    <w:p w14:paraId="4BA3849B">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工期：总日历天数见第一部分；开竣工日期以合同约定为准。</w:t>
      </w:r>
    </w:p>
    <w:p w14:paraId="5B22FD82">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质量标准：一次性验收合格，执行JGJ94、GB50202及设计文件。</w:t>
      </w:r>
    </w:p>
    <w:p w14:paraId="68643DD7">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合同价款：以中标报价为准，调整规则按投标人须知第3.2、3.3条执行。</w:t>
      </w:r>
    </w:p>
    <w:p w14:paraId="68A5443C">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付款与结算：按投标人须知第六部分执行；结算时承包人提交完整结算资料，发包人在收到后30日内完成审核。</w:t>
      </w:r>
    </w:p>
    <w:p w14:paraId="2737978D">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材料与设备：桩身材料由承包人采购，质量须符合设计及国家规范要求，进场须提供出厂合格证、检测报告，经监理见证取样复检合格后方可使用。</w:t>
      </w:r>
    </w:p>
    <w:p w14:paraId="1ABDC954">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安全管理：承包人为施工安全责任主体，应购买建筑工人工伤保险或团体意外险，发生安全事故由责任方依法承担。</w:t>
      </w:r>
    </w:p>
    <w:p w14:paraId="7DE14B77">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检测：桩身完整性检测（低应变，抽检数量不低于总桩数的20%且不少于【根据规范及设计确认】根）、静载试验（数量按设计及规范确定）由发包人委托有资质的第三方检测机构实施，费用由发包人承担；承包人负责配合并承担配合费用。</w:t>
      </w:r>
    </w:p>
    <w:p w14:paraId="47191E06">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争议解决：协商不成的，向工程所在地人民法院提起诉讼。</w:t>
      </w:r>
    </w:p>
    <w:p w14:paraId="29A1A785">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其他：本合同未尽事宜执行《民法典》及《建设工程质量管理条例》《建设工程安全生产管理条例》等有关规定。</w:t>
      </w:r>
    </w:p>
    <w:p w14:paraId="39A45CE7">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第五部分 投标报价表（修订版）</w:t>
      </w:r>
    </w:p>
    <w:p w14:paraId="718CDD9C">
      <w:pPr>
        <w:keepNext w:val="0"/>
        <w:keepLines w:val="0"/>
        <w:pageBreakBefore w:val="0"/>
        <w:widowControl/>
        <w:kinsoku/>
        <w:wordWrap/>
        <w:overflowPunct/>
        <w:topLinePunct w:val="0"/>
        <w:autoSpaceDE/>
        <w:autoSpaceDN/>
        <w:bidi w:val="0"/>
        <w:adjustRightInd/>
        <w:snapToGrid/>
        <w:spacing w:after="0" w:line="360" w:lineRule="auto"/>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年产2000套智慧电源驱动系统建设项目管桩施工施工单位报价表</w:t>
      </w:r>
    </w:p>
    <w:tbl>
      <w:tblPr>
        <w:tblW w:w="9124" w:type="dxa"/>
        <w:tblInd w:w="-64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488"/>
        <w:gridCol w:w="1737"/>
        <w:gridCol w:w="675"/>
        <w:gridCol w:w="1138"/>
        <w:gridCol w:w="1062"/>
        <w:gridCol w:w="1400"/>
        <w:gridCol w:w="1275"/>
        <w:gridCol w:w="1349"/>
      </w:tblGrid>
      <w:tr w14:paraId="053E7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59" w:hRule="atLeast"/>
        </w:trPr>
        <w:tc>
          <w:tcPr>
            <w:tcW w:w="488" w:type="dxa"/>
            <w:tcBorders>
              <w:top w:val="single" w:color="000000" w:sz="4" w:space="0"/>
              <w:left w:val="single" w:color="000000" w:sz="4" w:space="0"/>
              <w:bottom w:val="single" w:color="000000" w:sz="4" w:space="0"/>
              <w:right w:val="single" w:color="000000" w:sz="4" w:space="0"/>
            </w:tcBorders>
            <w:shd w:val="clear"/>
            <w:vAlign w:val="center"/>
          </w:tcPr>
          <w:p w14:paraId="6A0B7E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序号</w:t>
            </w:r>
          </w:p>
        </w:tc>
        <w:tc>
          <w:tcPr>
            <w:tcW w:w="1737" w:type="dxa"/>
            <w:tcBorders>
              <w:top w:val="single" w:color="000000" w:sz="4" w:space="0"/>
              <w:left w:val="single" w:color="000000" w:sz="4" w:space="0"/>
              <w:bottom w:val="single" w:color="000000" w:sz="4" w:space="0"/>
              <w:right w:val="single" w:color="000000" w:sz="4" w:space="0"/>
            </w:tcBorders>
            <w:shd w:val="clear"/>
            <w:vAlign w:val="center"/>
          </w:tcPr>
          <w:p w14:paraId="0E394A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分项工程</w:t>
            </w:r>
          </w:p>
        </w:tc>
        <w:tc>
          <w:tcPr>
            <w:tcW w:w="675" w:type="dxa"/>
            <w:tcBorders>
              <w:top w:val="single" w:color="000000" w:sz="4" w:space="0"/>
              <w:left w:val="single" w:color="000000" w:sz="4" w:space="0"/>
              <w:bottom w:val="single" w:color="000000" w:sz="4" w:space="0"/>
              <w:right w:val="single" w:color="000000" w:sz="4" w:space="0"/>
            </w:tcBorders>
            <w:shd w:val="clear"/>
            <w:vAlign w:val="center"/>
          </w:tcPr>
          <w:p w14:paraId="640ABF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单位</w:t>
            </w:r>
          </w:p>
        </w:tc>
        <w:tc>
          <w:tcPr>
            <w:tcW w:w="1138" w:type="dxa"/>
            <w:tcBorders>
              <w:top w:val="single" w:color="000000" w:sz="4" w:space="0"/>
              <w:left w:val="single" w:color="000000" w:sz="4" w:space="0"/>
              <w:bottom w:val="single" w:color="000000" w:sz="4" w:space="0"/>
              <w:right w:val="single" w:color="000000" w:sz="4" w:space="0"/>
            </w:tcBorders>
            <w:shd w:val="clear"/>
            <w:vAlign w:val="center"/>
          </w:tcPr>
          <w:p w14:paraId="6BBB06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控制价</w:t>
            </w:r>
          </w:p>
        </w:tc>
        <w:tc>
          <w:tcPr>
            <w:tcW w:w="1062" w:type="dxa"/>
            <w:tcBorders>
              <w:top w:val="single" w:color="000000" w:sz="4" w:space="0"/>
              <w:left w:val="single" w:color="000000" w:sz="4" w:space="0"/>
              <w:bottom w:val="single" w:color="000000" w:sz="4" w:space="0"/>
              <w:right w:val="single" w:color="000000" w:sz="4" w:space="0"/>
            </w:tcBorders>
            <w:shd w:val="clear"/>
            <w:vAlign w:val="center"/>
          </w:tcPr>
          <w:p w14:paraId="5F85A1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预估数量</w:t>
            </w:r>
          </w:p>
        </w:tc>
        <w:tc>
          <w:tcPr>
            <w:tcW w:w="1400" w:type="dxa"/>
            <w:tcBorders>
              <w:top w:val="single" w:color="000000" w:sz="4" w:space="0"/>
              <w:left w:val="single" w:color="000000" w:sz="4" w:space="0"/>
              <w:bottom w:val="single" w:color="000000" w:sz="4" w:space="0"/>
              <w:right w:val="single" w:color="000000" w:sz="4" w:space="0"/>
            </w:tcBorders>
            <w:shd w:val="clear"/>
            <w:vAlign w:val="center"/>
          </w:tcPr>
          <w:p w14:paraId="359064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投标单价</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14:paraId="4CD867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合价（预估）</w:t>
            </w:r>
          </w:p>
        </w:tc>
        <w:tc>
          <w:tcPr>
            <w:tcW w:w="1349" w:type="dxa"/>
            <w:tcBorders>
              <w:top w:val="single" w:color="000000" w:sz="4" w:space="0"/>
              <w:left w:val="single" w:color="000000" w:sz="4" w:space="0"/>
              <w:bottom w:val="single" w:color="000000" w:sz="4" w:space="0"/>
              <w:right w:val="single" w:color="000000" w:sz="4" w:space="0"/>
            </w:tcBorders>
            <w:shd w:val="clear"/>
            <w:vAlign w:val="center"/>
          </w:tcPr>
          <w:p w14:paraId="72A6C6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计价说明</w:t>
            </w:r>
          </w:p>
        </w:tc>
      </w:tr>
      <w:tr w14:paraId="12675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83" w:hRule="atLeast"/>
        </w:trPr>
        <w:tc>
          <w:tcPr>
            <w:tcW w:w="488" w:type="dxa"/>
            <w:tcBorders>
              <w:top w:val="single" w:color="000000" w:sz="4" w:space="0"/>
              <w:left w:val="single" w:color="000000" w:sz="4" w:space="0"/>
              <w:bottom w:val="single" w:color="000000" w:sz="4" w:space="0"/>
              <w:right w:val="single" w:color="000000" w:sz="4" w:space="0"/>
            </w:tcBorders>
            <w:shd w:val="clear"/>
            <w:vAlign w:val="center"/>
          </w:tcPr>
          <w:p w14:paraId="620D5C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1</w:t>
            </w:r>
          </w:p>
        </w:tc>
        <w:tc>
          <w:tcPr>
            <w:tcW w:w="1737" w:type="dxa"/>
            <w:tcBorders>
              <w:top w:val="single" w:color="000000" w:sz="4" w:space="0"/>
              <w:left w:val="single" w:color="000000" w:sz="4" w:space="0"/>
              <w:bottom w:val="single" w:color="000000" w:sz="4" w:space="0"/>
              <w:right w:val="single" w:color="000000" w:sz="4" w:space="0"/>
            </w:tcBorders>
            <w:shd w:val="clear"/>
            <w:vAlign w:val="center"/>
          </w:tcPr>
          <w:p w14:paraId="7DFD72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场地清理表、基坑土方开挖及建渣清运外运</w:t>
            </w:r>
          </w:p>
        </w:tc>
        <w:tc>
          <w:tcPr>
            <w:tcW w:w="675" w:type="dxa"/>
            <w:tcBorders>
              <w:top w:val="single" w:color="000000" w:sz="4" w:space="0"/>
              <w:left w:val="single" w:color="000000" w:sz="4" w:space="0"/>
              <w:bottom w:val="single" w:color="000000" w:sz="4" w:space="0"/>
              <w:right w:val="single" w:color="000000" w:sz="4" w:space="0"/>
            </w:tcBorders>
            <w:shd w:val="clear"/>
            <w:vAlign w:val="center"/>
          </w:tcPr>
          <w:p w14:paraId="602771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项</w:t>
            </w:r>
          </w:p>
        </w:tc>
        <w:tc>
          <w:tcPr>
            <w:tcW w:w="1138" w:type="dxa"/>
            <w:tcBorders>
              <w:top w:val="single" w:color="000000" w:sz="4" w:space="0"/>
              <w:left w:val="single" w:color="000000" w:sz="4" w:space="0"/>
              <w:bottom w:val="single" w:color="000000" w:sz="4" w:space="0"/>
              <w:right w:val="single" w:color="000000" w:sz="4" w:space="0"/>
            </w:tcBorders>
            <w:shd w:val="clear"/>
            <w:vAlign w:val="center"/>
          </w:tcPr>
          <w:p w14:paraId="1719BB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200,000.00元</w:t>
            </w:r>
          </w:p>
        </w:tc>
        <w:tc>
          <w:tcPr>
            <w:tcW w:w="1062" w:type="dxa"/>
            <w:tcBorders>
              <w:top w:val="single" w:color="000000" w:sz="4" w:space="0"/>
              <w:left w:val="single" w:color="000000" w:sz="4" w:space="0"/>
              <w:bottom w:val="single" w:color="000000" w:sz="4" w:space="0"/>
              <w:right w:val="single" w:color="000000" w:sz="4" w:space="0"/>
            </w:tcBorders>
            <w:shd w:val="clear"/>
            <w:vAlign w:val="center"/>
          </w:tcPr>
          <w:p w14:paraId="1AF813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2600方（预估）</w:t>
            </w:r>
          </w:p>
        </w:tc>
        <w:tc>
          <w:tcPr>
            <w:tcW w:w="1400" w:type="dxa"/>
            <w:tcBorders>
              <w:top w:val="single" w:color="000000" w:sz="4" w:space="0"/>
              <w:left w:val="single" w:color="000000" w:sz="4" w:space="0"/>
              <w:bottom w:val="single" w:color="000000" w:sz="4" w:space="0"/>
              <w:right w:val="single" w:color="000000" w:sz="4" w:space="0"/>
            </w:tcBorders>
            <w:shd w:val="clear"/>
            <w:vAlign w:val="center"/>
          </w:tcPr>
          <w:p w14:paraId="60F2EF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总价包干</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14:paraId="5752A1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【投标填报】</w:t>
            </w:r>
          </w:p>
        </w:tc>
        <w:tc>
          <w:tcPr>
            <w:tcW w:w="1349" w:type="dxa"/>
            <w:tcBorders>
              <w:top w:val="single" w:color="000000" w:sz="4" w:space="0"/>
              <w:left w:val="single" w:color="000000" w:sz="4" w:space="0"/>
              <w:bottom w:val="single" w:color="000000" w:sz="4" w:space="0"/>
              <w:right w:val="single" w:color="000000" w:sz="4" w:space="0"/>
            </w:tcBorders>
            <w:shd w:val="clear"/>
            <w:vAlign w:val="center"/>
          </w:tcPr>
          <w:p w14:paraId="72D2B2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总价包干含挖运、消纳全部费用</w:t>
            </w:r>
          </w:p>
        </w:tc>
      </w:tr>
      <w:tr w14:paraId="00D8B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20" w:hRule="atLeast"/>
        </w:trPr>
        <w:tc>
          <w:tcPr>
            <w:tcW w:w="488" w:type="dxa"/>
            <w:tcBorders>
              <w:top w:val="single" w:color="000000" w:sz="4" w:space="0"/>
              <w:left w:val="single" w:color="000000" w:sz="4" w:space="0"/>
              <w:bottom w:val="single" w:color="000000" w:sz="4" w:space="0"/>
              <w:right w:val="single" w:color="000000" w:sz="4" w:space="0"/>
            </w:tcBorders>
            <w:shd w:val="clear"/>
            <w:vAlign w:val="center"/>
          </w:tcPr>
          <w:p w14:paraId="584BED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2</w:t>
            </w:r>
          </w:p>
        </w:tc>
        <w:tc>
          <w:tcPr>
            <w:tcW w:w="1737" w:type="dxa"/>
            <w:tcBorders>
              <w:top w:val="single" w:color="000000" w:sz="4" w:space="0"/>
              <w:left w:val="single" w:color="000000" w:sz="4" w:space="0"/>
              <w:bottom w:val="single" w:color="000000" w:sz="4" w:space="0"/>
              <w:right w:val="single" w:color="000000" w:sz="4" w:space="0"/>
            </w:tcBorders>
            <w:shd w:val="clear"/>
            <w:vAlign w:val="center"/>
          </w:tcPr>
          <w:p w14:paraId="24D184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桩身（材料、采购及运输费）</w:t>
            </w:r>
          </w:p>
        </w:tc>
        <w:tc>
          <w:tcPr>
            <w:tcW w:w="675" w:type="dxa"/>
            <w:tcBorders>
              <w:top w:val="single" w:color="000000" w:sz="4" w:space="0"/>
              <w:left w:val="single" w:color="000000" w:sz="4" w:space="0"/>
              <w:bottom w:val="single" w:color="000000" w:sz="4" w:space="0"/>
              <w:right w:val="single" w:color="000000" w:sz="4" w:space="0"/>
            </w:tcBorders>
            <w:shd w:val="clear"/>
            <w:vAlign w:val="center"/>
          </w:tcPr>
          <w:p w14:paraId="6FD5E2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元/m</w:t>
            </w:r>
          </w:p>
        </w:tc>
        <w:tc>
          <w:tcPr>
            <w:tcW w:w="1138" w:type="dxa"/>
            <w:tcBorders>
              <w:top w:val="single" w:color="000000" w:sz="4" w:space="0"/>
              <w:left w:val="single" w:color="000000" w:sz="4" w:space="0"/>
              <w:bottom w:val="single" w:color="000000" w:sz="4" w:space="0"/>
              <w:right w:val="single" w:color="000000" w:sz="4" w:space="0"/>
            </w:tcBorders>
            <w:shd w:val="clear"/>
            <w:vAlign w:val="center"/>
          </w:tcPr>
          <w:p w14:paraId="7C8F50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120元/m</w:t>
            </w:r>
          </w:p>
        </w:tc>
        <w:tc>
          <w:tcPr>
            <w:tcW w:w="1062" w:type="dxa"/>
            <w:tcBorders>
              <w:top w:val="single" w:color="000000" w:sz="4" w:space="0"/>
              <w:left w:val="single" w:color="000000" w:sz="4" w:space="0"/>
              <w:bottom w:val="single" w:color="000000" w:sz="4" w:space="0"/>
              <w:right w:val="single" w:color="000000" w:sz="4" w:space="0"/>
            </w:tcBorders>
            <w:shd w:val="clear"/>
            <w:vAlign w:val="center"/>
          </w:tcPr>
          <w:p w14:paraId="2E5026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4716m</w:t>
            </w:r>
          </w:p>
        </w:tc>
        <w:tc>
          <w:tcPr>
            <w:tcW w:w="1400" w:type="dxa"/>
            <w:tcBorders>
              <w:top w:val="single" w:color="000000" w:sz="4" w:space="0"/>
              <w:left w:val="single" w:color="000000" w:sz="4" w:space="0"/>
              <w:bottom w:val="single" w:color="000000" w:sz="4" w:space="0"/>
              <w:right w:val="single" w:color="000000" w:sz="4" w:space="0"/>
            </w:tcBorders>
            <w:shd w:val="clear"/>
            <w:vAlign w:val="center"/>
          </w:tcPr>
          <w:p w14:paraId="71C5F5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【投标填报】</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14:paraId="6FE669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【投标填报】</w:t>
            </w:r>
          </w:p>
        </w:tc>
        <w:tc>
          <w:tcPr>
            <w:tcW w:w="1349" w:type="dxa"/>
            <w:tcBorders>
              <w:top w:val="single" w:color="000000" w:sz="4" w:space="0"/>
              <w:left w:val="single" w:color="000000" w:sz="4" w:space="0"/>
              <w:bottom w:val="single" w:color="000000" w:sz="4" w:space="0"/>
              <w:right w:val="single" w:color="000000" w:sz="4" w:space="0"/>
            </w:tcBorders>
            <w:shd w:val="clear"/>
            <w:vAlign w:val="center"/>
          </w:tcPr>
          <w:p w14:paraId="5CCCAA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按实际桩长计价</w:t>
            </w:r>
          </w:p>
        </w:tc>
      </w:tr>
      <w:tr w14:paraId="4973A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65" w:hRule="atLeast"/>
        </w:trPr>
        <w:tc>
          <w:tcPr>
            <w:tcW w:w="488" w:type="dxa"/>
            <w:tcBorders>
              <w:top w:val="single" w:color="000000" w:sz="4" w:space="0"/>
              <w:left w:val="single" w:color="000000" w:sz="4" w:space="0"/>
              <w:bottom w:val="single" w:color="000000" w:sz="4" w:space="0"/>
              <w:right w:val="single" w:color="000000" w:sz="4" w:space="0"/>
            </w:tcBorders>
            <w:shd w:val="clear"/>
            <w:vAlign w:val="center"/>
          </w:tcPr>
          <w:p w14:paraId="42426E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3</w:t>
            </w:r>
          </w:p>
        </w:tc>
        <w:tc>
          <w:tcPr>
            <w:tcW w:w="1737" w:type="dxa"/>
            <w:tcBorders>
              <w:top w:val="single" w:color="000000" w:sz="4" w:space="0"/>
              <w:left w:val="single" w:color="000000" w:sz="4" w:space="0"/>
              <w:bottom w:val="single" w:color="000000" w:sz="4" w:space="0"/>
              <w:right w:val="single" w:color="000000" w:sz="4" w:space="0"/>
            </w:tcBorders>
            <w:shd w:val="clear"/>
            <w:vAlign w:val="center"/>
          </w:tcPr>
          <w:p w14:paraId="47E729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打桩（人工、机械、送桩）</w:t>
            </w:r>
          </w:p>
        </w:tc>
        <w:tc>
          <w:tcPr>
            <w:tcW w:w="675" w:type="dxa"/>
            <w:tcBorders>
              <w:top w:val="single" w:color="000000" w:sz="4" w:space="0"/>
              <w:left w:val="single" w:color="000000" w:sz="4" w:space="0"/>
              <w:bottom w:val="single" w:color="000000" w:sz="4" w:space="0"/>
              <w:right w:val="single" w:color="000000" w:sz="4" w:space="0"/>
            </w:tcBorders>
            <w:shd w:val="clear"/>
            <w:vAlign w:val="center"/>
          </w:tcPr>
          <w:p w14:paraId="1140E5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元/m</w:t>
            </w:r>
          </w:p>
        </w:tc>
        <w:tc>
          <w:tcPr>
            <w:tcW w:w="1138" w:type="dxa"/>
            <w:tcBorders>
              <w:top w:val="single" w:color="000000" w:sz="4" w:space="0"/>
              <w:left w:val="single" w:color="000000" w:sz="4" w:space="0"/>
              <w:bottom w:val="single" w:color="000000" w:sz="4" w:space="0"/>
              <w:right w:val="single" w:color="000000" w:sz="4" w:space="0"/>
            </w:tcBorders>
            <w:shd w:val="clear"/>
            <w:vAlign w:val="center"/>
          </w:tcPr>
          <w:p w14:paraId="1A053D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30元/m</w:t>
            </w:r>
          </w:p>
        </w:tc>
        <w:tc>
          <w:tcPr>
            <w:tcW w:w="1062" w:type="dxa"/>
            <w:tcBorders>
              <w:top w:val="single" w:color="000000" w:sz="4" w:space="0"/>
              <w:left w:val="single" w:color="000000" w:sz="4" w:space="0"/>
              <w:bottom w:val="single" w:color="000000" w:sz="4" w:space="0"/>
              <w:right w:val="single" w:color="000000" w:sz="4" w:space="0"/>
            </w:tcBorders>
            <w:shd w:val="clear"/>
            <w:vAlign w:val="center"/>
          </w:tcPr>
          <w:p w14:paraId="21324E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4716m</w:t>
            </w:r>
          </w:p>
        </w:tc>
        <w:tc>
          <w:tcPr>
            <w:tcW w:w="1400" w:type="dxa"/>
            <w:tcBorders>
              <w:top w:val="single" w:color="000000" w:sz="4" w:space="0"/>
              <w:left w:val="single" w:color="000000" w:sz="4" w:space="0"/>
              <w:bottom w:val="single" w:color="000000" w:sz="4" w:space="0"/>
              <w:right w:val="single" w:color="000000" w:sz="4" w:space="0"/>
            </w:tcBorders>
            <w:shd w:val="clear"/>
            <w:vAlign w:val="center"/>
          </w:tcPr>
          <w:p w14:paraId="679337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【投标填报】</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14:paraId="0CE7AE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【投标填报】</w:t>
            </w:r>
          </w:p>
        </w:tc>
        <w:tc>
          <w:tcPr>
            <w:tcW w:w="1349" w:type="dxa"/>
            <w:tcBorders>
              <w:top w:val="single" w:color="000000" w:sz="4" w:space="0"/>
              <w:left w:val="single" w:color="000000" w:sz="4" w:space="0"/>
              <w:bottom w:val="single" w:color="000000" w:sz="4" w:space="0"/>
              <w:right w:val="single" w:color="000000" w:sz="4" w:space="0"/>
            </w:tcBorders>
            <w:shd w:val="clear"/>
            <w:vAlign w:val="center"/>
          </w:tcPr>
          <w:p w14:paraId="02814D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按入土深度计算</w:t>
            </w:r>
          </w:p>
        </w:tc>
      </w:tr>
      <w:tr w14:paraId="5577E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65" w:hRule="atLeast"/>
        </w:trPr>
        <w:tc>
          <w:tcPr>
            <w:tcW w:w="488" w:type="dxa"/>
            <w:tcBorders>
              <w:top w:val="single" w:color="000000" w:sz="4" w:space="0"/>
              <w:left w:val="single" w:color="000000" w:sz="4" w:space="0"/>
              <w:bottom w:val="single" w:color="000000" w:sz="4" w:space="0"/>
              <w:right w:val="single" w:color="000000" w:sz="4" w:space="0"/>
            </w:tcBorders>
            <w:shd w:val="clear"/>
            <w:vAlign w:val="center"/>
          </w:tcPr>
          <w:p w14:paraId="7E8083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4</w:t>
            </w:r>
          </w:p>
        </w:tc>
        <w:tc>
          <w:tcPr>
            <w:tcW w:w="1737" w:type="dxa"/>
            <w:tcBorders>
              <w:top w:val="single" w:color="000000" w:sz="4" w:space="0"/>
              <w:left w:val="single" w:color="000000" w:sz="4" w:space="0"/>
              <w:bottom w:val="single" w:color="000000" w:sz="4" w:space="0"/>
              <w:right w:val="single" w:color="000000" w:sz="4" w:space="0"/>
            </w:tcBorders>
            <w:shd w:val="clear"/>
            <w:vAlign w:val="center"/>
          </w:tcPr>
          <w:p w14:paraId="595BAE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裁桩（裁桩、接桩）</w:t>
            </w:r>
          </w:p>
        </w:tc>
        <w:tc>
          <w:tcPr>
            <w:tcW w:w="675" w:type="dxa"/>
            <w:tcBorders>
              <w:top w:val="single" w:color="000000" w:sz="4" w:space="0"/>
              <w:left w:val="single" w:color="000000" w:sz="4" w:space="0"/>
              <w:bottom w:val="single" w:color="000000" w:sz="4" w:space="0"/>
              <w:right w:val="single" w:color="000000" w:sz="4" w:space="0"/>
            </w:tcBorders>
            <w:shd w:val="clear"/>
            <w:vAlign w:val="center"/>
          </w:tcPr>
          <w:p w14:paraId="63E085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元/根</w:t>
            </w:r>
          </w:p>
        </w:tc>
        <w:tc>
          <w:tcPr>
            <w:tcW w:w="1138" w:type="dxa"/>
            <w:tcBorders>
              <w:top w:val="single" w:color="000000" w:sz="4" w:space="0"/>
              <w:left w:val="single" w:color="000000" w:sz="4" w:space="0"/>
              <w:bottom w:val="single" w:color="000000" w:sz="4" w:space="0"/>
              <w:right w:val="single" w:color="000000" w:sz="4" w:space="0"/>
            </w:tcBorders>
            <w:shd w:val="clear"/>
            <w:vAlign w:val="center"/>
          </w:tcPr>
          <w:p w14:paraId="513C7E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30元/根</w:t>
            </w:r>
          </w:p>
        </w:tc>
        <w:tc>
          <w:tcPr>
            <w:tcW w:w="1062" w:type="dxa"/>
            <w:tcBorders>
              <w:top w:val="single" w:color="000000" w:sz="4" w:space="0"/>
              <w:left w:val="single" w:color="000000" w:sz="4" w:space="0"/>
              <w:bottom w:val="single" w:color="000000" w:sz="4" w:space="0"/>
              <w:right w:val="single" w:color="000000" w:sz="4" w:space="0"/>
            </w:tcBorders>
            <w:shd w:val="clear"/>
            <w:vAlign w:val="center"/>
          </w:tcPr>
          <w:p w14:paraId="00A274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416根</w:t>
            </w:r>
          </w:p>
        </w:tc>
        <w:tc>
          <w:tcPr>
            <w:tcW w:w="1400" w:type="dxa"/>
            <w:tcBorders>
              <w:top w:val="single" w:color="000000" w:sz="4" w:space="0"/>
              <w:left w:val="single" w:color="000000" w:sz="4" w:space="0"/>
              <w:bottom w:val="single" w:color="000000" w:sz="4" w:space="0"/>
              <w:right w:val="single" w:color="000000" w:sz="4" w:space="0"/>
            </w:tcBorders>
            <w:shd w:val="clear"/>
            <w:vAlign w:val="center"/>
          </w:tcPr>
          <w:p w14:paraId="4B22BF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【投标填报】</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14:paraId="1FA7AA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【投标填报】</w:t>
            </w:r>
          </w:p>
        </w:tc>
        <w:tc>
          <w:tcPr>
            <w:tcW w:w="1349" w:type="dxa"/>
            <w:tcBorders>
              <w:top w:val="single" w:color="000000" w:sz="4" w:space="0"/>
              <w:left w:val="single" w:color="000000" w:sz="4" w:space="0"/>
              <w:bottom w:val="single" w:color="000000" w:sz="4" w:space="0"/>
              <w:right w:val="single" w:color="000000" w:sz="4" w:space="0"/>
            </w:tcBorders>
            <w:shd w:val="clear"/>
            <w:vAlign w:val="center"/>
          </w:tcPr>
          <w:p w14:paraId="1D3959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总价包干</w:t>
            </w:r>
          </w:p>
        </w:tc>
      </w:tr>
      <w:tr w14:paraId="10C58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75" w:hRule="atLeast"/>
        </w:trPr>
        <w:tc>
          <w:tcPr>
            <w:tcW w:w="488" w:type="dxa"/>
            <w:tcBorders>
              <w:top w:val="single" w:color="000000" w:sz="4" w:space="0"/>
              <w:left w:val="single" w:color="000000" w:sz="4" w:space="0"/>
              <w:bottom w:val="single" w:color="000000" w:sz="4" w:space="0"/>
              <w:right w:val="single" w:color="000000" w:sz="4" w:space="0"/>
            </w:tcBorders>
            <w:shd w:val="clear"/>
            <w:vAlign w:val="center"/>
          </w:tcPr>
          <w:p w14:paraId="58AEB5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5</w:t>
            </w:r>
          </w:p>
        </w:tc>
        <w:tc>
          <w:tcPr>
            <w:tcW w:w="1737" w:type="dxa"/>
            <w:tcBorders>
              <w:top w:val="single" w:color="000000" w:sz="4" w:space="0"/>
              <w:left w:val="single" w:color="000000" w:sz="4" w:space="0"/>
              <w:bottom w:val="single" w:color="000000" w:sz="4" w:space="0"/>
              <w:right w:val="single" w:color="000000" w:sz="4" w:space="0"/>
            </w:tcBorders>
            <w:shd w:val="clear"/>
            <w:vAlign w:val="center"/>
          </w:tcPr>
          <w:p w14:paraId="49D54F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桩尖（300方桩配套【型号待定】）</w:t>
            </w:r>
          </w:p>
        </w:tc>
        <w:tc>
          <w:tcPr>
            <w:tcW w:w="675" w:type="dxa"/>
            <w:tcBorders>
              <w:top w:val="single" w:color="000000" w:sz="4" w:space="0"/>
              <w:left w:val="single" w:color="000000" w:sz="4" w:space="0"/>
              <w:bottom w:val="single" w:color="000000" w:sz="4" w:space="0"/>
              <w:right w:val="single" w:color="000000" w:sz="4" w:space="0"/>
            </w:tcBorders>
            <w:shd w:val="clear"/>
            <w:vAlign w:val="center"/>
          </w:tcPr>
          <w:p w14:paraId="7E91B1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元/根</w:t>
            </w:r>
          </w:p>
        </w:tc>
        <w:tc>
          <w:tcPr>
            <w:tcW w:w="1138" w:type="dxa"/>
            <w:tcBorders>
              <w:top w:val="single" w:color="000000" w:sz="4" w:space="0"/>
              <w:left w:val="single" w:color="000000" w:sz="4" w:space="0"/>
              <w:bottom w:val="single" w:color="000000" w:sz="4" w:space="0"/>
              <w:right w:val="single" w:color="000000" w:sz="4" w:space="0"/>
            </w:tcBorders>
            <w:shd w:val="clear"/>
            <w:vAlign w:val="center"/>
          </w:tcPr>
          <w:p w14:paraId="5CD035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100元/根</w:t>
            </w:r>
          </w:p>
        </w:tc>
        <w:tc>
          <w:tcPr>
            <w:tcW w:w="1062" w:type="dxa"/>
            <w:tcBorders>
              <w:top w:val="single" w:color="000000" w:sz="4" w:space="0"/>
              <w:left w:val="single" w:color="000000" w:sz="4" w:space="0"/>
              <w:bottom w:val="single" w:color="000000" w:sz="4" w:space="0"/>
              <w:right w:val="single" w:color="000000" w:sz="4" w:space="0"/>
            </w:tcBorders>
            <w:shd w:val="clear"/>
            <w:vAlign w:val="center"/>
          </w:tcPr>
          <w:p w14:paraId="0E441B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416根</w:t>
            </w:r>
          </w:p>
        </w:tc>
        <w:tc>
          <w:tcPr>
            <w:tcW w:w="1400" w:type="dxa"/>
            <w:tcBorders>
              <w:top w:val="single" w:color="000000" w:sz="4" w:space="0"/>
              <w:left w:val="single" w:color="000000" w:sz="4" w:space="0"/>
              <w:bottom w:val="single" w:color="000000" w:sz="4" w:space="0"/>
              <w:right w:val="single" w:color="000000" w:sz="4" w:space="0"/>
            </w:tcBorders>
            <w:shd w:val="clear"/>
            <w:vAlign w:val="center"/>
          </w:tcPr>
          <w:p w14:paraId="0DDF40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总价包干</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14:paraId="16CBE2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【投标填报】</w:t>
            </w:r>
          </w:p>
        </w:tc>
        <w:tc>
          <w:tcPr>
            <w:tcW w:w="1349" w:type="dxa"/>
            <w:tcBorders>
              <w:top w:val="single" w:color="000000" w:sz="4" w:space="0"/>
              <w:left w:val="single" w:color="000000" w:sz="4" w:space="0"/>
              <w:bottom w:val="single" w:color="000000" w:sz="4" w:space="0"/>
              <w:right w:val="single" w:color="000000" w:sz="4" w:space="0"/>
            </w:tcBorders>
            <w:shd w:val="clear"/>
            <w:vAlign w:val="center"/>
          </w:tcPr>
          <w:p w14:paraId="1FB93A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总价包干</w:t>
            </w:r>
          </w:p>
        </w:tc>
      </w:tr>
      <w:tr w14:paraId="1DC47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20" w:hRule="atLeast"/>
        </w:trPr>
        <w:tc>
          <w:tcPr>
            <w:tcW w:w="488" w:type="dxa"/>
            <w:tcBorders>
              <w:top w:val="single" w:color="000000" w:sz="4" w:space="0"/>
              <w:left w:val="single" w:color="000000" w:sz="4" w:space="0"/>
              <w:bottom w:val="single" w:color="000000" w:sz="4" w:space="0"/>
              <w:right w:val="single" w:color="000000" w:sz="4" w:space="0"/>
            </w:tcBorders>
            <w:shd w:val="clear"/>
            <w:vAlign w:val="center"/>
          </w:tcPr>
          <w:p w14:paraId="4493CB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6</w:t>
            </w:r>
          </w:p>
        </w:tc>
        <w:tc>
          <w:tcPr>
            <w:tcW w:w="1737" w:type="dxa"/>
            <w:tcBorders>
              <w:top w:val="single" w:color="000000" w:sz="4" w:space="0"/>
              <w:left w:val="single" w:color="000000" w:sz="4" w:space="0"/>
              <w:bottom w:val="single" w:color="000000" w:sz="4" w:space="0"/>
              <w:right w:val="single" w:color="000000" w:sz="4" w:space="0"/>
            </w:tcBorders>
            <w:shd w:val="clear"/>
            <w:vAlign w:val="center"/>
          </w:tcPr>
          <w:p w14:paraId="0A7081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配合检测、桩头破除、资料编制</w:t>
            </w:r>
          </w:p>
        </w:tc>
        <w:tc>
          <w:tcPr>
            <w:tcW w:w="675" w:type="dxa"/>
            <w:tcBorders>
              <w:top w:val="single" w:color="000000" w:sz="4" w:space="0"/>
              <w:left w:val="single" w:color="000000" w:sz="4" w:space="0"/>
              <w:bottom w:val="single" w:color="000000" w:sz="4" w:space="0"/>
              <w:right w:val="single" w:color="000000" w:sz="4" w:space="0"/>
            </w:tcBorders>
            <w:shd w:val="clear"/>
            <w:vAlign w:val="center"/>
          </w:tcPr>
          <w:p w14:paraId="2CB659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项</w:t>
            </w:r>
          </w:p>
        </w:tc>
        <w:tc>
          <w:tcPr>
            <w:tcW w:w="1138" w:type="dxa"/>
            <w:tcBorders>
              <w:top w:val="single" w:color="000000" w:sz="4" w:space="0"/>
              <w:left w:val="single" w:color="000000" w:sz="4" w:space="0"/>
              <w:bottom w:val="single" w:color="000000" w:sz="4" w:space="0"/>
              <w:right w:val="single" w:color="000000" w:sz="4" w:space="0"/>
            </w:tcBorders>
            <w:shd w:val="clear"/>
            <w:vAlign w:val="center"/>
          </w:tcPr>
          <w:p w14:paraId="354894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w:t>
            </w:r>
          </w:p>
        </w:tc>
        <w:tc>
          <w:tcPr>
            <w:tcW w:w="1062" w:type="dxa"/>
            <w:tcBorders>
              <w:top w:val="single" w:color="000000" w:sz="4" w:space="0"/>
              <w:left w:val="single" w:color="000000" w:sz="4" w:space="0"/>
              <w:bottom w:val="single" w:color="000000" w:sz="4" w:space="0"/>
              <w:right w:val="single" w:color="000000" w:sz="4" w:space="0"/>
            </w:tcBorders>
            <w:shd w:val="clear"/>
            <w:vAlign w:val="center"/>
          </w:tcPr>
          <w:p w14:paraId="6D79BE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w:t>
            </w:r>
          </w:p>
        </w:tc>
        <w:tc>
          <w:tcPr>
            <w:tcW w:w="1400" w:type="dxa"/>
            <w:tcBorders>
              <w:top w:val="single" w:color="000000" w:sz="4" w:space="0"/>
              <w:left w:val="single" w:color="000000" w:sz="4" w:space="0"/>
              <w:bottom w:val="single" w:color="000000" w:sz="4" w:space="0"/>
              <w:right w:val="single" w:color="000000" w:sz="4" w:space="0"/>
            </w:tcBorders>
            <w:shd w:val="clear"/>
            <w:vAlign w:val="center"/>
          </w:tcPr>
          <w:p w14:paraId="463CFD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含在上列各项内</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14:paraId="0255EF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0</w:t>
            </w:r>
          </w:p>
        </w:tc>
        <w:tc>
          <w:tcPr>
            <w:tcW w:w="1349" w:type="dxa"/>
            <w:tcBorders>
              <w:top w:val="single" w:color="000000" w:sz="4" w:space="0"/>
              <w:left w:val="single" w:color="000000" w:sz="4" w:space="0"/>
              <w:bottom w:val="single" w:color="000000" w:sz="4" w:space="0"/>
              <w:right w:val="single" w:color="000000" w:sz="4" w:space="0"/>
            </w:tcBorders>
            <w:shd w:val="clear"/>
            <w:vAlign w:val="center"/>
          </w:tcPr>
          <w:p w14:paraId="37C27D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不单独计价</w:t>
            </w:r>
          </w:p>
        </w:tc>
      </w:tr>
    </w:tbl>
    <w:p w14:paraId="4CAD35C8">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44081DD6">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投标总报价（预估）：大写：＿＿＿＿＿＿＿＿＿＿；小写：¥＿＿＿＿＿＿</w:t>
      </w:r>
    </w:p>
    <w:p w14:paraId="066D758F">
      <w:pPr>
        <w:keepNext w:val="0"/>
        <w:keepLines w:val="0"/>
        <w:pageBreakBefore w:val="0"/>
        <w:widowControl/>
        <w:kinsoku/>
        <w:wordWrap/>
        <w:overflowPunct/>
        <w:topLinePunct w:val="0"/>
        <w:autoSpaceDE/>
        <w:autoSpaceDN/>
        <w:bidi w:val="0"/>
        <w:adjustRightInd/>
        <w:snapToGrid/>
        <w:spacing w:after="0" w:line="360" w:lineRule="auto"/>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说明：</w:t>
      </w:r>
    </w:p>
    <w:p w14:paraId="3043A81F">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报价含税金、安全文明施工费、资料、配合检测等全部费用；</w:t>
      </w:r>
    </w:p>
    <w:p w14:paraId="2E957771">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预估总价控制值：781,480.00元（其中桩身565,920元＋打桩141,480元＋清表清运20,000元＋接桩按预估【待定】＋桩尖41,600元），投标报价超过控制值的作废标处理；</w:t>
      </w:r>
    </w:p>
    <w:p w14:paraId="3713FD26">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val="0"/>
          <w:bCs w:val="0"/>
          <w:color w:val="1A2029"/>
          <w:kern w:val="0"/>
          <w:sz w:val="28"/>
          <w:szCs w:val="28"/>
          <w14:ligatures w14:val="none"/>
        </w:rPr>
        <w:t>结算规则按投标人须知</w:t>
      </w:r>
      <w:r>
        <w:rPr>
          <w:rFonts w:hint="eastAsia" w:ascii="宋体" w:hAnsi="宋体" w:eastAsia="宋体" w:cs="宋体"/>
          <w:b/>
          <w:bCs/>
          <w:color w:val="1A2029"/>
          <w:kern w:val="0"/>
          <w:sz w:val="28"/>
          <w:szCs w:val="28"/>
          <w14:ligatures w14:val="none"/>
        </w:rPr>
        <w:t>第3.2、3.3条</w:t>
      </w:r>
      <w:r>
        <w:rPr>
          <w:rFonts w:hint="eastAsia" w:ascii="宋体" w:hAnsi="宋体" w:eastAsia="宋体" w:cs="宋体"/>
          <w:b w:val="0"/>
          <w:bCs w:val="0"/>
          <w:color w:val="1A2029"/>
          <w:kern w:val="0"/>
          <w:sz w:val="28"/>
          <w:szCs w:val="28"/>
          <w14:ligatures w14:val="none"/>
        </w:rPr>
        <w:t>执行。</w:t>
      </w:r>
    </w:p>
    <w:p w14:paraId="14E35F24">
      <w:pPr>
        <w:keepNext w:val="0"/>
        <w:keepLines w:val="0"/>
        <w:pageBreakBefore w:val="0"/>
        <w:widowControl/>
        <w:kinsoku/>
        <w:wordWrap/>
        <w:overflowPunct/>
        <w:topLinePunct w:val="0"/>
        <w:autoSpaceDE/>
        <w:autoSpaceDN/>
        <w:bidi w:val="0"/>
        <w:adjustRightInd/>
        <w:snapToGrid/>
        <w:spacing w:after="0" w:line="360" w:lineRule="auto"/>
        <w:ind w:firstLine="562" w:firstLineChars="200"/>
        <w:jc w:val="right"/>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报价单位（盖章）：</w:t>
      </w:r>
      <w:r>
        <w:rPr>
          <w:rFonts w:hint="eastAsia" w:ascii="宋体" w:hAnsi="宋体" w:eastAsia="宋体" w:cs="宋体"/>
          <w:b/>
          <w:bCs/>
          <w:color w:val="1A2029"/>
          <w:kern w:val="0"/>
          <w:sz w:val="28"/>
          <w:szCs w:val="28"/>
          <w14:ligatures w14:val="none"/>
        </w:rPr>
        <w:br w:type="textWrapping"/>
      </w:r>
      <w:r>
        <w:rPr>
          <w:rFonts w:hint="eastAsia" w:ascii="宋体" w:hAnsi="宋体" w:eastAsia="宋体" w:cs="宋体"/>
          <w:b/>
          <w:bCs/>
          <w:color w:val="1A2029"/>
          <w:kern w:val="0"/>
          <w:sz w:val="28"/>
          <w:szCs w:val="28"/>
          <w14:ligatures w14:val="none"/>
        </w:rPr>
        <w:t>法定代表人或授权委托人（签字）：</w:t>
      </w:r>
      <w:r>
        <w:rPr>
          <w:rFonts w:hint="eastAsia" w:ascii="宋体" w:hAnsi="宋体" w:eastAsia="宋体" w:cs="宋体"/>
          <w:b/>
          <w:bCs/>
          <w:color w:val="1A2029"/>
          <w:kern w:val="0"/>
          <w:sz w:val="28"/>
          <w:szCs w:val="28"/>
          <w14:ligatures w14:val="none"/>
        </w:rPr>
        <w:br w:type="textWrapping"/>
      </w:r>
      <w:r>
        <w:rPr>
          <w:rFonts w:hint="eastAsia" w:ascii="宋体" w:hAnsi="宋体" w:eastAsia="宋体" w:cs="宋体"/>
          <w:b/>
          <w:bCs/>
          <w:color w:val="1A2029"/>
          <w:kern w:val="0"/>
          <w:sz w:val="28"/>
          <w:szCs w:val="28"/>
          <w14:ligatures w14:val="none"/>
        </w:rPr>
        <w:t>时间：　　年　　月　　日</w:t>
      </w:r>
    </w:p>
    <w:p w14:paraId="51B26E2E">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69A005F6">
      <w:pPr>
        <w:keepNext w:val="0"/>
        <w:keepLines w:val="0"/>
        <w:pageBreakBefore w:val="0"/>
        <w:widowControl/>
        <w:kinsoku/>
        <w:wordWrap/>
        <w:overflowPunct/>
        <w:topLinePunct w:val="0"/>
        <w:autoSpaceDE/>
        <w:autoSpaceDN/>
        <w:bidi w:val="0"/>
        <w:adjustRightInd/>
        <w:snapToGrid/>
        <w:spacing w:after="0" w:line="360" w:lineRule="auto"/>
        <w:textAlignment w:val="baseline"/>
        <w:rPr>
          <w:rFonts w:hint="eastAsia" w:ascii="宋体" w:hAnsi="宋体" w:eastAsia="宋体" w:cs="宋体"/>
          <w:b/>
          <w:bCs/>
          <w:color w:val="1A2029"/>
          <w:kern w:val="0"/>
          <w:sz w:val="28"/>
          <w:szCs w:val="28"/>
          <w14:ligatures w14:val="none"/>
        </w:rPr>
      </w:pPr>
    </w:p>
    <w:p w14:paraId="12A8558E">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090F660A">
      <w:pPr>
        <w:keepNext w:val="0"/>
        <w:keepLines w:val="0"/>
        <w:pageBreakBefore w:val="0"/>
        <w:widowControl/>
        <w:kinsoku/>
        <w:wordWrap/>
        <w:overflowPunct/>
        <w:topLinePunct w:val="0"/>
        <w:autoSpaceDE/>
        <w:autoSpaceDN/>
        <w:bidi w:val="0"/>
        <w:adjustRightInd/>
        <w:snapToGrid/>
        <w:spacing w:after="0" w:line="360" w:lineRule="auto"/>
        <w:textAlignment w:val="baseline"/>
        <w:rPr>
          <w:rFonts w:hint="eastAsia" w:ascii="宋体" w:hAnsi="宋体" w:eastAsia="宋体" w:cs="宋体"/>
          <w:b/>
          <w:bCs/>
          <w:color w:val="1A2029"/>
          <w:kern w:val="0"/>
          <w:sz w:val="28"/>
          <w:szCs w:val="28"/>
          <w14:ligatures w14:val="none"/>
        </w:rPr>
      </w:pPr>
    </w:p>
    <w:p w14:paraId="0F4CA415">
      <w:pPr>
        <w:keepNext w:val="0"/>
        <w:keepLines w:val="0"/>
        <w:pageBreakBefore w:val="0"/>
        <w:widowControl/>
        <w:kinsoku/>
        <w:wordWrap/>
        <w:overflowPunct/>
        <w:topLinePunct w:val="0"/>
        <w:autoSpaceDE/>
        <w:autoSpaceDN/>
        <w:bidi w:val="0"/>
        <w:adjustRightInd/>
        <w:snapToGrid/>
        <w:spacing w:after="0" w:line="360" w:lineRule="auto"/>
        <w:textAlignment w:val="baseline"/>
        <w:rPr>
          <w:rFonts w:hint="eastAsia" w:ascii="宋体" w:hAnsi="宋体" w:eastAsia="宋体" w:cs="宋体"/>
          <w:b/>
          <w:bCs/>
          <w:color w:val="1A2029"/>
          <w:kern w:val="0"/>
          <w:sz w:val="28"/>
          <w:szCs w:val="28"/>
          <w14:ligatures w14:val="none"/>
        </w:rPr>
      </w:pPr>
    </w:p>
    <w:p w14:paraId="629AE24A">
      <w:pPr>
        <w:keepNext w:val="0"/>
        <w:keepLines w:val="0"/>
        <w:pageBreakBefore w:val="0"/>
        <w:widowControl/>
        <w:kinsoku/>
        <w:wordWrap/>
        <w:overflowPunct/>
        <w:topLinePunct w:val="0"/>
        <w:autoSpaceDE/>
        <w:autoSpaceDN/>
        <w:bidi w:val="0"/>
        <w:adjustRightInd/>
        <w:snapToGrid/>
        <w:spacing w:after="0" w:line="360" w:lineRule="auto"/>
        <w:textAlignment w:val="baseline"/>
        <w:rPr>
          <w:rFonts w:hint="eastAsia" w:ascii="宋体" w:hAnsi="宋体" w:eastAsia="宋体" w:cs="宋体"/>
          <w:b/>
          <w:bCs/>
          <w:color w:val="1A2029"/>
          <w:kern w:val="0"/>
          <w:sz w:val="28"/>
          <w:szCs w:val="28"/>
          <w14:ligatures w14:val="none"/>
        </w:rPr>
      </w:pPr>
    </w:p>
    <w:p w14:paraId="7AB7B984">
      <w:pPr>
        <w:keepNext w:val="0"/>
        <w:keepLines w:val="0"/>
        <w:pageBreakBefore w:val="0"/>
        <w:widowControl/>
        <w:kinsoku/>
        <w:wordWrap/>
        <w:overflowPunct/>
        <w:topLinePunct w:val="0"/>
        <w:autoSpaceDE/>
        <w:autoSpaceDN/>
        <w:bidi w:val="0"/>
        <w:adjustRightInd/>
        <w:snapToGrid/>
        <w:spacing w:after="0" w:line="360" w:lineRule="auto"/>
        <w:textAlignment w:val="baseline"/>
        <w:rPr>
          <w:rFonts w:hint="eastAsia" w:ascii="宋体" w:hAnsi="宋体" w:eastAsia="宋体" w:cs="宋体"/>
          <w:b/>
          <w:bCs/>
          <w:color w:val="1A2029"/>
          <w:kern w:val="0"/>
          <w:sz w:val="28"/>
          <w:szCs w:val="28"/>
          <w14:ligatures w14:val="none"/>
        </w:rPr>
      </w:pPr>
    </w:p>
    <w:p w14:paraId="6EE179D9">
      <w:pPr>
        <w:keepNext w:val="0"/>
        <w:keepLines w:val="0"/>
        <w:pageBreakBefore w:val="0"/>
        <w:widowControl/>
        <w:kinsoku/>
        <w:wordWrap/>
        <w:overflowPunct/>
        <w:topLinePunct w:val="0"/>
        <w:autoSpaceDE/>
        <w:autoSpaceDN/>
        <w:bidi w:val="0"/>
        <w:adjustRightInd/>
        <w:snapToGrid/>
        <w:spacing w:after="0" w:line="360" w:lineRule="auto"/>
        <w:textAlignment w:val="baseline"/>
        <w:rPr>
          <w:rFonts w:hint="eastAsia" w:ascii="宋体" w:hAnsi="宋体" w:eastAsia="宋体" w:cs="宋体"/>
          <w:b/>
          <w:bCs/>
          <w:color w:val="1A2029"/>
          <w:kern w:val="0"/>
          <w:sz w:val="28"/>
          <w:szCs w:val="28"/>
          <w14:ligatures w14:val="none"/>
        </w:rPr>
      </w:pPr>
    </w:p>
    <w:p w14:paraId="43E5DA00">
      <w:pPr>
        <w:keepNext w:val="0"/>
        <w:keepLines w:val="0"/>
        <w:pageBreakBefore w:val="0"/>
        <w:widowControl/>
        <w:kinsoku/>
        <w:wordWrap/>
        <w:overflowPunct/>
        <w:topLinePunct w:val="0"/>
        <w:autoSpaceDE/>
        <w:autoSpaceDN/>
        <w:bidi w:val="0"/>
        <w:adjustRightInd/>
        <w:snapToGrid/>
        <w:spacing w:after="0" w:line="360" w:lineRule="auto"/>
        <w:textAlignment w:val="baseline"/>
        <w:rPr>
          <w:rFonts w:hint="eastAsia" w:ascii="宋体" w:hAnsi="宋体" w:eastAsia="宋体" w:cs="宋体"/>
          <w:b/>
          <w:bCs/>
          <w:color w:val="1A2029"/>
          <w:kern w:val="0"/>
          <w:sz w:val="28"/>
          <w:szCs w:val="28"/>
          <w14:ligatures w14:val="none"/>
        </w:rPr>
      </w:pPr>
    </w:p>
    <w:p w14:paraId="303C551E">
      <w:pPr>
        <w:keepNext w:val="0"/>
        <w:keepLines w:val="0"/>
        <w:pageBreakBefore w:val="0"/>
        <w:widowControl/>
        <w:kinsoku/>
        <w:wordWrap/>
        <w:overflowPunct/>
        <w:topLinePunct w:val="0"/>
        <w:autoSpaceDE/>
        <w:autoSpaceDN/>
        <w:bidi w:val="0"/>
        <w:adjustRightInd/>
        <w:snapToGrid/>
        <w:spacing w:after="0" w:line="360" w:lineRule="auto"/>
        <w:textAlignment w:val="baseline"/>
        <w:rPr>
          <w:rFonts w:hint="eastAsia" w:ascii="宋体" w:hAnsi="宋体" w:eastAsia="宋体" w:cs="宋体"/>
          <w:b/>
          <w:bCs/>
          <w:color w:val="1A2029"/>
          <w:kern w:val="0"/>
          <w:sz w:val="28"/>
          <w:szCs w:val="28"/>
          <w14:ligatures w14:val="none"/>
        </w:rPr>
      </w:pPr>
    </w:p>
    <w:p w14:paraId="35A95EB0">
      <w:pPr>
        <w:keepNext w:val="0"/>
        <w:keepLines w:val="0"/>
        <w:pageBreakBefore w:val="0"/>
        <w:widowControl/>
        <w:kinsoku/>
        <w:wordWrap/>
        <w:overflowPunct/>
        <w:topLinePunct w:val="0"/>
        <w:autoSpaceDE/>
        <w:autoSpaceDN/>
        <w:bidi w:val="0"/>
        <w:adjustRightInd/>
        <w:snapToGrid/>
        <w:spacing w:after="0" w:line="360" w:lineRule="auto"/>
        <w:textAlignment w:val="baseline"/>
        <w:rPr>
          <w:rFonts w:hint="eastAsia" w:ascii="宋体" w:hAnsi="宋体" w:eastAsia="宋体" w:cs="宋体"/>
          <w:b/>
          <w:bCs/>
          <w:color w:val="1A2029"/>
          <w:kern w:val="0"/>
          <w:sz w:val="28"/>
          <w:szCs w:val="28"/>
          <w14:ligatures w14:val="none"/>
        </w:rPr>
      </w:pPr>
    </w:p>
    <w:p w14:paraId="71C5B4BA">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附件一：投标函格式</w:t>
      </w:r>
    </w:p>
    <w:p w14:paraId="48B33CCE">
      <w:pPr>
        <w:keepNext w:val="0"/>
        <w:keepLines w:val="0"/>
        <w:pageBreakBefore w:val="0"/>
        <w:widowControl/>
        <w:kinsoku/>
        <w:wordWrap/>
        <w:overflowPunct/>
        <w:topLinePunct w:val="0"/>
        <w:autoSpaceDE/>
        <w:autoSpaceDN/>
        <w:bidi w:val="0"/>
        <w:adjustRightInd/>
        <w:snapToGrid/>
        <w:spacing w:after="0" w:line="360" w:lineRule="auto"/>
        <w:ind w:firstLine="560" w:firstLineChars="200"/>
        <w:jc w:val="center"/>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投标函</w:t>
      </w:r>
    </w:p>
    <w:p w14:paraId="1F3080A2">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致：啸驰（四川）节能科技有限公司</w:t>
      </w:r>
    </w:p>
    <w:p w14:paraId="22C37981">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我方已仔细研究了贵方《年产2000套智慧电源驱动系统建设项目管桩施工招标文件》的全部内容，愿意以人民币（大写）＿＿＿＿＿＿（¥＿＿＿＿＿＿）的投标总报价，按合同约定实施和完成本招标范围内的全部工作。</w:t>
      </w:r>
    </w:p>
    <w:p w14:paraId="40191B9C">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我方承诺：工期为合同签订后50日历天内完成全部桩基施工；质量达到一次性验收合格标准。</w:t>
      </w:r>
    </w:p>
    <w:p w14:paraId="1E451008">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我方已详细审核全部招标文件及附件，包括澄清和修改（如有）。我方放弃对招标文件提出误解或歧义的权利。</w:t>
      </w:r>
    </w:p>
    <w:p w14:paraId="5A84CD02">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我方承诺本投标文件自投标截止之日起60日历天内有效，在此期间不撤回、不修改投标文件。</w:t>
      </w:r>
    </w:p>
    <w:p w14:paraId="33B9B838">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如我方中标，我方保证在收到中标通知书后7日内与贵方签订合同，并按约缴纳履约保证金。</w:t>
      </w:r>
    </w:p>
    <w:p w14:paraId="76DD04CC">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我方确认本投标文件所附全部资料真实有效，如有虚假，愿承担由此产生的一切法律责任。</w:t>
      </w:r>
    </w:p>
    <w:p w14:paraId="6FC87245">
      <w:pPr>
        <w:keepNext w:val="0"/>
        <w:keepLines w:val="0"/>
        <w:pageBreakBefore w:val="0"/>
        <w:widowControl/>
        <w:kinsoku/>
        <w:wordWrap/>
        <w:overflowPunct/>
        <w:topLinePunct w:val="0"/>
        <w:autoSpaceDE/>
        <w:autoSpaceDN/>
        <w:bidi w:val="0"/>
        <w:adjustRightInd/>
        <w:snapToGrid/>
        <w:spacing w:after="0" w:line="360" w:lineRule="auto"/>
        <w:ind w:firstLine="560" w:firstLineChars="200"/>
        <w:jc w:val="right"/>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投标人（盖章）：</w:t>
      </w:r>
      <w:r>
        <w:rPr>
          <w:rFonts w:hint="eastAsia" w:ascii="宋体" w:hAnsi="宋体" w:eastAsia="宋体" w:cs="宋体"/>
          <w:b w:val="0"/>
          <w:bCs w:val="0"/>
          <w:color w:val="1A2029"/>
          <w:kern w:val="0"/>
          <w:sz w:val="28"/>
          <w:szCs w:val="28"/>
          <w14:ligatures w14:val="none"/>
        </w:rPr>
        <w:br w:type="textWrapping"/>
      </w:r>
      <w:r>
        <w:rPr>
          <w:rFonts w:hint="eastAsia" w:ascii="宋体" w:hAnsi="宋体" w:eastAsia="宋体" w:cs="宋体"/>
          <w:b w:val="0"/>
          <w:bCs w:val="0"/>
          <w:color w:val="1A2029"/>
          <w:kern w:val="0"/>
          <w:sz w:val="28"/>
          <w:szCs w:val="28"/>
          <w14:ligatures w14:val="none"/>
        </w:rPr>
        <w:t>法定代表人或授权委托人（签字）：</w:t>
      </w:r>
      <w:r>
        <w:rPr>
          <w:rFonts w:hint="eastAsia" w:ascii="宋体" w:hAnsi="宋体" w:eastAsia="宋体" w:cs="宋体"/>
          <w:b w:val="0"/>
          <w:bCs w:val="0"/>
          <w:color w:val="1A2029"/>
          <w:kern w:val="0"/>
          <w:sz w:val="28"/>
          <w:szCs w:val="28"/>
          <w14:ligatures w14:val="none"/>
        </w:rPr>
        <w:br w:type="textWrapping"/>
      </w:r>
      <w:r>
        <w:rPr>
          <w:rFonts w:hint="eastAsia" w:ascii="宋体" w:hAnsi="宋体" w:eastAsia="宋体" w:cs="宋体"/>
          <w:b w:val="0"/>
          <w:bCs w:val="0"/>
          <w:color w:val="1A2029"/>
          <w:kern w:val="0"/>
          <w:sz w:val="28"/>
          <w:szCs w:val="28"/>
          <w14:ligatures w14:val="none"/>
        </w:rPr>
        <w:t>地址：</w:t>
      </w:r>
    </w:p>
    <w:p w14:paraId="775FE24E">
      <w:pPr>
        <w:keepNext w:val="0"/>
        <w:keepLines w:val="0"/>
        <w:pageBreakBefore w:val="0"/>
        <w:widowControl/>
        <w:kinsoku/>
        <w:wordWrap/>
        <w:overflowPunct/>
        <w:topLinePunct w:val="0"/>
        <w:autoSpaceDE/>
        <w:autoSpaceDN/>
        <w:bidi w:val="0"/>
        <w:adjustRightInd/>
        <w:snapToGrid/>
        <w:spacing w:after="0" w:line="360" w:lineRule="auto"/>
        <w:ind w:firstLine="560" w:firstLineChars="200"/>
        <w:jc w:val="right"/>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电话：</w:t>
      </w:r>
    </w:p>
    <w:p w14:paraId="180DF8C1">
      <w:pPr>
        <w:keepNext w:val="0"/>
        <w:keepLines w:val="0"/>
        <w:pageBreakBefore w:val="0"/>
        <w:widowControl/>
        <w:kinsoku/>
        <w:wordWrap/>
        <w:overflowPunct/>
        <w:topLinePunct w:val="0"/>
        <w:autoSpaceDE/>
        <w:autoSpaceDN/>
        <w:bidi w:val="0"/>
        <w:adjustRightInd/>
        <w:snapToGrid/>
        <w:spacing w:after="0" w:line="360" w:lineRule="auto"/>
        <w:ind w:firstLine="560" w:firstLineChars="200"/>
        <w:jc w:val="right"/>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日期：　　年　　月　　日</w:t>
      </w:r>
    </w:p>
    <w:p w14:paraId="6B0CB424">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附件二：开标记录表</w:t>
      </w:r>
    </w:p>
    <w:p w14:paraId="578B8EDE">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年产2000套智慧电源驱动系统建设项目管桩施工项目</w:t>
      </w:r>
    </w:p>
    <w:p w14:paraId="6167B379">
      <w:pPr>
        <w:keepNext w:val="0"/>
        <w:keepLines w:val="0"/>
        <w:pageBreakBefore w:val="0"/>
        <w:widowControl/>
        <w:kinsoku/>
        <w:wordWrap/>
        <w:overflowPunct/>
        <w:topLinePunct w:val="0"/>
        <w:autoSpaceDE/>
        <w:autoSpaceDN/>
        <w:bidi w:val="0"/>
        <w:adjustRightInd/>
        <w:snapToGrid/>
        <w:spacing w:after="0" w:line="360" w:lineRule="auto"/>
        <w:ind w:firstLine="562" w:firstLineChars="200"/>
        <w:jc w:val="center"/>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开标记录表</w:t>
      </w:r>
    </w:p>
    <w:p w14:paraId="41F6EC07">
      <w:pPr>
        <w:keepNext w:val="0"/>
        <w:keepLines w:val="0"/>
        <w:pageBreakBefore w:val="0"/>
        <w:widowControl/>
        <w:kinsoku/>
        <w:wordWrap/>
        <w:overflowPunct/>
        <w:topLinePunct w:val="0"/>
        <w:autoSpaceDE/>
        <w:autoSpaceDN/>
        <w:bidi w:val="0"/>
        <w:adjustRightInd/>
        <w:snapToGrid/>
        <w:spacing w:after="0" w:line="360" w:lineRule="auto"/>
        <w:jc w:val="left"/>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时间：2026年9月22日上午10:00　</w:t>
      </w:r>
    </w:p>
    <w:p w14:paraId="625D2676">
      <w:pPr>
        <w:keepNext w:val="0"/>
        <w:keepLines w:val="0"/>
        <w:pageBreakBefore w:val="0"/>
        <w:widowControl/>
        <w:kinsoku/>
        <w:wordWrap/>
        <w:overflowPunct/>
        <w:topLinePunct w:val="0"/>
        <w:autoSpaceDE/>
        <w:autoSpaceDN/>
        <w:bidi w:val="0"/>
        <w:adjustRightInd/>
        <w:snapToGrid/>
        <w:spacing w:after="0" w:line="360" w:lineRule="auto"/>
        <w:jc w:val="left"/>
        <w:textAlignment w:val="baseline"/>
        <w:rPr>
          <w:rFonts w:hint="eastAsia" w:ascii="宋体" w:hAnsi="宋体" w:eastAsia="宋体" w:cs="宋体"/>
          <w:b w:val="0"/>
          <w:bCs w:val="0"/>
          <w:color w:val="1A2029"/>
          <w:kern w:val="0"/>
          <w:sz w:val="28"/>
          <w:szCs w:val="28"/>
          <w14:ligatures w14:val="none"/>
        </w:rPr>
      </w:pPr>
      <w:r>
        <w:rPr>
          <w:rFonts w:hint="eastAsia" w:ascii="宋体" w:hAnsi="宋体" w:eastAsia="宋体" w:cs="宋体"/>
          <w:b w:val="0"/>
          <w:bCs w:val="0"/>
          <w:color w:val="1A2029"/>
          <w:kern w:val="0"/>
          <w:sz w:val="28"/>
          <w:szCs w:val="28"/>
          <w14:ligatures w14:val="none"/>
        </w:rPr>
        <w:t>地点：安居区安东大道20号1楼办公室</w:t>
      </w:r>
    </w:p>
    <w:tbl>
      <w:tblPr>
        <w:tblStyle w:val="14"/>
        <w:tblW w:w="9582" w:type="dxa"/>
        <w:tblInd w:w="-8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87"/>
        <w:gridCol w:w="3095"/>
        <w:gridCol w:w="1050"/>
        <w:gridCol w:w="1150"/>
        <w:gridCol w:w="1313"/>
        <w:gridCol w:w="1050"/>
        <w:gridCol w:w="650"/>
        <w:gridCol w:w="787"/>
      </w:tblGrid>
      <w:tr w14:paraId="4646D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81" w:hRule="atLeast"/>
          <w:tblHeader/>
        </w:trPr>
        <w:tc>
          <w:tcPr>
            <w:tcW w:w="487" w:type="dxa"/>
            <w:tcMar>
              <w:top w:w="180" w:type="dxa"/>
              <w:left w:w="180" w:type="dxa"/>
              <w:bottom w:w="180" w:type="dxa"/>
              <w:right w:w="180" w:type="dxa"/>
            </w:tcMar>
            <w:vAlign w:val="center"/>
          </w:tcPr>
          <w:p w14:paraId="2A996039">
            <w:pPr>
              <w:keepNext w:val="0"/>
              <w:keepLines w:val="0"/>
              <w:widowControl/>
              <w:suppressLineNumbers w:val="0"/>
              <w:jc w:val="left"/>
              <w:textAlignment w:val="center"/>
              <w:rPr>
                <w:rFonts w:hint="eastAsia" w:ascii="宋体" w:hAnsi="宋体" w:eastAsia="宋体" w:cs="宋体"/>
                <w:b/>
                <w:bCs/>
                <w:color w:val="1A2029"/>
                <w:kern w:val="0"/>
                <w:sz w:val="21"/>
                <w:szCs w:val="21"/>
                <w14:ligatures w14:val="none"/>
              </w:rPr>
            </w:pPr>
            <w:r>
              <w:rPr>
                <w:rFonts w:hint="eastAsia" w:ascii="宋体" w:hAnsi="宋体" w:eastAsia="宋体" w:cs="宋体"/>
                <w:b/>
                <w:bCs/>
                <w:i w:val="0"/>
                <w:iCs w:val="0"/>
                <w:color w:val="1A2029"/>
                <w:kern w:val="0"/>
                <w:sz w:val="21"/>
                <w:szCs w:val="21"/>
                <w:u w:val="none"/>
                <w:lang w:val="en-US" w:eastAsia="zh-CN" w:bidi="ar"/>
                <w14:ligatures w14:val="standardContextual"/>
              </w:rPr>
              <w:t>序号</w:t>
            </w:r>
          </w:p>
        </w:tc>
        <w:tc>
          <w:tcPr>
            <w:tcW w:w="3095" w:type="dxa"/>
            <w:tcMar>
              <w:top w:w="180" w:type="dxa"/>
              <w:left w:w="180" w:type="dxa"/>
              <w:bottom w:w="180" w:type="dxa"/>
              <w:right w:w="180" w:type="dxa"/>
            </w:tcMar>
            <w:vAlign w:val="center"/>
          </w:tcPr>
          <w:p w14:paraId="590D3F00">
            <w:pPr>
              <w:keepNext w:val="0"/>
              <w:keepLines w:val="0"/>
              <w:widowControl/>
              <w:suppressLineNumbers w:val="0"/>
              <w:jc w:val="center"/>
              <w:textAlignment w:val="center"/>
              <w:rPr>
                <w:rFonts w:hint="eastAsia" w:ascii="宋体" w:hAnsi="宋体" w:eastAsia="宋体" w:cs="宋体"/>
                <w:b/>
                <w:bCs/>
                <w:color w:val="1A2029"/>
                <w:kern w:val="0"/>
                <w:sz w:val="21"/>
                <w:szCs w:val="21"/>
                <w14:ligatures w14:val="none"/>
              </w:rPr>
            </w:pPr>
            <w:r>
              <w:rPr>
                <w:rFonts w:hint="eastAsia" w:ascii="宋体" w:hAnsi="宋体" w:eastAsia="宋体" w:cs="宋体"/>
                <w:b/>
                <w:bCs/>
                <w:i w:val="0"/>
                <w:iCs w:val="0"/>
                <w:color w:val="1A2029"/>
                <w:kern w:val="0"/>
                <w:sz w:val="21"/>
                <w:szCs w:val="21"/>
                <w:u w:val="none"/>
                <w:lang w:val="en-US" w:eastAsia="zh-CN" w:bidi="ar"/>
                <w14:ligatures w14:val="standardContextual"/>
              </w:rPr>
              <w:t>投标人</w:t>
            </w:r>
          </w:p>
        </w:tc>
        <w:tc>
          <w:tcPr>
            <w:tcW w:w="1050" w:type="dxa"/>
            <w:tcMar>
              <w:top w:w="180" w:type="dxa"/>
              <w:left w:w="180" w:type="dxa"/>
              <w:bottom w:w="180" w:type="dxa"/>
              <w:right w:w="180" w:type="dxa"/>
            </w:tcMar>
            <w:vAlign w:val="center"/>
          </w:tcPr>
          <w:p w14:paraId="6C36CA19">
            <w:pPr>
              <w:keepNext w:val="0"/>
              <w:keepLines w:val="0"/>
              <w:widowControl/>
              <w:suppressLineNumbers w:val="0"/>
              <w:jc w:val="center"/>
              <w:textAlignment w:val="center"/>
              <w:rPr>
                <w:rFonts w:hint="eastAsia" w:ascii="宋体" w:hAnsi="宋体" w:eastAsia="宋体" w:cs="宋体"/>
                <w:b/>
                <w:bCs/>
                <w:color w:val="1A2029"/>
                <w:kern w:val="0"/>
                <w:sz w:val="21"/>
                <w:szCs w:val="21"/>
                <w14:ligatures w14:val="none"/>
              </w:rPr>
            </w:pPr>
            <w:r>
              <w:rPr>
                <w:rFonts w:hint="eastAsia" w:ascii="宋体" w:hAnsi="宋体" w:eastAsia="宋体" w:cs="宋体"/>
                <w:b/>
                <w:bCs/>
                <w:i w:val="0"/>
                <w:iCs w:val="0"/>
                <w:color w:val="1A2029"/>
                <w:kern w:val="0"/>
                <w:sz w:val="21"/>
                <w:szCs w:val="21"/>
                <w:u w:val="none"/>
                <w:lang w:val="en-US" w:eastAsia="zh-CN" w:bidi="ar"/>
                <w14:ligatures w14:val="standardContextual"/>
              </w:rPr>
              <w:t>投标人代表</w:t>
            </w:r>
          </w:p>
        </w:tc>
        <w:tc>
          <w:tcPr>
            <w:tcW w:w="1150" w:type="dxa"/>
            <w:tcMar>
              <w:top w:w="180" w:type="dxa"/>
              <w:left w:w="180" w:type="dxa"/>
              <w:bottom w:w="180" w:type="dxa"/>
              <w:right w:w="180" w:type="dxa"/>
            </w:tcMar>
            <w:vAlign w:val="center"/>
          </w:tcPr>
          <w:p w14:paraId="0CF41EE4">
            <w:pPr>
              <w:keepNext w:val="0"/>
              <w:keepLines w:val="0"/>
              <w:widowControl/>
              <w:suppressLineNumbers w:val="0"/>
              <w:jc w:val="center"/>
              <w:textAlignment w:val="center"/>
              <w:rPr>
                <w:rFonts w:hint="eastAsia" w:ascii="宋体" w:hAnsi="宋体" w:eastAsia="宋体" w:cs="宋体"/>
                <w:b/>
                <w:bCs/>
                <w:color w:val="1A2029"/>
                <w:kern w:val="0"/>
                <w:sz w:val="21"/>
                <w:szCs w:val="21"/>
                <w14:ligatures w14:val="none"/>
              </w:rPr>
            </w:pPr>
            <w:r>
              <w:rPr>
                <w:rFonts w:hint="eastAsia" w:ascii="宋体" w:hAnsi="宋体" w:eastAsia="宋体" w:cs="宋体"/>
                <w:b/>
                <w:bCs/>
                <w:i w:val="0"/>
                <w:iCs w:val="0"/>
                <w:color w:val="1A2029"/>
                <w:kern w:val="0"/>
                <w:sz w:val="21"/>
                <w:szCs w:val="21"/>
                <w:u w:val="none"/>
                <w:lang w:val="en-US" w:eastAsia="zh-CN" w:bidi="ar"/>
                <w14:ligatures w14:val="standardContextual"/>
              </w:rPr>
              <w:t>是否通过资格审核</w:t>
            </w:r>
          </w:p>
        </w:tc>
        <w:tc>
          <w:tcPr>
            <w:tcW w:w="1313" w:type="dxa"/>
            <w:tcMar>
              <w:top w:w="180" w:type="dxa"/>
              <w:left w:w="180" w:type="dxa"/>
              <w:bottom w:w="180" w:type="dxa"/>
              <w:right w:w="180" w:type="dxa"/>
            </w:tcMar>
            <w:vAlign w:val="center"/>
          </w:tcPr>
          <w:p w14:paraId="0C51C369">
            <w:pPr>
              <w:keepNext w:val="0"/>
              <w:keepLines w:val="0"/>
              <w:widowControl/>
              <w:suppressLineNumbers w:val="0"/>
              <w:jc w:val="center"/>
              <w:textAlignment w:val="center"/>
              <w:rPr>
                <w:rFonts w:hint="eastAsia" w:ascii="宋体" w:hAnsi="宋体" w:eastAsia="宋体" w:cs="宋体"/>
                <w:b/>
                <w:bCs/>
                <w:color w:val="1A2029"/>
                <w:kern w:val="0"/>
                <w:sz w:val="21"/>
                <w:szCs w:val="21"/>
                <w14:ligatures w14:val="none"/>
              </w:rPr>
            </w:pPr>
            <w:r>
              <w:rPr>
                <w:rFonts w:hint="eastAsia" w:ascii="宋体" w:hAnsi="宋体" w:eastAsia="宋体" w:cs="宋体"/>
                <w:b/>
                <w:bCs/>
                <w:i w:val="0"/>
                <w:iCs w:val="0"/>
                <w:color w:val="1A2029"/>
                <w:kern w:val="0"/>
                <w:sz w:val="21"/>
                <w:szCs w:val="21"/>
                <w:u w:val="none"/>
                <w:lang w:val="en-US" w:eastAsia="zh-CN" w:bidi="ar"/>
                <w14:ligatures w14:val="standardContextual"/>
              </w:rPr>
              <w:t>投标报价（元）</w:t>
            </w:r>
          </w:p>
        </w:tc>
        <w:tc>
          <w:tcPr>
            <w:tcW w:w="1050" w:type="dxa"/>
            <w:tcMar>
              <w:top w:w="180" w:type="dxa"/>
              <w:left w:w="180" w:type="dxa"/>
              <w:bottom w:w="180" w:type="dxa"/>
              <w:right w:w="180" w:type="dxa"/>
            </w:tcMar>
            <w:vAlign w:val="center"/>
          </w:tcPr>
          <w:p w14:paraId="37C2378F">
            <w:pPr>
              <w:keepNext w:val="0"/>
              <w:keepLines w:val="0"/>
              <w:widowControl/>
              <w:suppressLineNumbers w:val="0"/>
              <w:jc w:val="left"/>
              <w:textAlignment w:val="center"/>
              <w:rPr>
                <w:rFonts w:hint="eastAsia" w:ascii="宋体" w:hAnsi="宋体" w:eastAsia="宋体" w:cs="宋体"/>
                <w:b/>
                <w:bCs/>
                <w:color w:val="1A2029"/>
                <w:kern w:val="0"/>
                <w:sz w:val="21"/>
                <w:szCs w:val="21"/>
                <w14:ligatures w14:val="none"/>
              </w:rPr>
            </w:pPr>
            <w:r>
              <w:rPr>
                <w:rFonts w:hint="eastAsia" w:ascii="宋体" w:hAnsi="宋体" w:eastAsia="宋体" w:cs="宋体"/>
                <w:b/>
                <w:bCs/>
                <w:i w:val="0"/>
                <w:iCs w:val="0"/>
                <w:color w:val="1A2029"/>
                <w:kern w:val="0"/>
                <w:sz w:val="21"/>
                <w:szCs w:val="21"/>
                <w:u w:val="none"/>
                <w:lang w:val="en-US" w:eastAsia="zh-CN" w:bidi="ar"/>
                <w14:ligatures w14:val="standardContextual"/>
              </w:rPr>
              <w:t>是否通过符合性审查</w:t>
            </w:r>
          </w:p>
        </w:tc>
        <w:tc>
          <w:tcPr>
            <w:tcW w:w="650" w:type="dxa"/>
            <w:tcMar>
              <w:top w:w="180" w:type="dxa"/>
              <w:left w:w="180" w:type="dxa"/>
              <w:bottom w:w="180" w:type="dxa"/>
              <w:right w:w="180" w:type="dxa"/>
            </w:tcMar>
            <w:vAlign w:val="center"/>
          </w:tcPr>
          <w:p w14:paraId="30DA4D6E">
            <w:pPr>
              <w:keepNext w:val="0"/>
              <w:keepLines w:val="0"/>
              <w:widowControl/>
              <w:suppressLineNumbers w:val="0"/>
              <w:jc w:val="left"/>
              <w:textAlignment w:val="center"/>
              <w:rPr>
                <w:rFonts w:hint="eastAsia" w:ascii="宋体" w:hAnsi="宋体" w:eastAsia="宋体" w:cs="宋体"/>
                <w:b/>
                <w:bCs/>
                <w:color w:val="1A2029"/>
                <w:kern w:val="0"/>
                <w:sz w:val="21"/>
                <w:szCs w:val="21"/>
                <w14:ligatures w14:val="none"/>
              </w:rPr>
            </w:pPr>
            <w:r>
              <w:rPr>
                <w:rFonts w:hint="eastAsia" w:ascii="宋体" w:hAnsi="宋体" w:eastAsia="宋体" w:cs="宋体"/>
                <w:b/>
                <w:bCs/>
                <w:i w:val="0"/>
                <w:iCs w:val="0"/>
                <w:color w:val="1A2029"/>
                <w:kern w:val="0"/>
                <w:sz w:val="21"/>
                <w:szCs w:val="21"/>
                <w:u w:val="none"/>
                <w:lang w:val="en-US" w:eastAsia="zh-CN" w:bidi="ar"/>
                <w14:ligatures w14:val="standardContextual"/>
              </w:rPr>
              <w:t>排序</w:t>
            </w:r>
          </w:p>
        </w:tc>
        <w:tc>
          <w:tcPr>
            <w:tcW w:w="787" w:type="dxa"/>
            <w:tcMar>
              <w:top w:w="180" w:type="dxa"/>
              <w:left w:w="180" w:type="dxa"/>
              <w:bottom w:w="180" w:type="dxa"/>
              <w:right w:w="180" w:type="dxa"/>
            </w:tcMar>
            <w:vAlign w:val="center"/>
          </w:tcPr>
          <w:p w14:paraId="41D93EB1">
            <w:pPr>
              <w:keepNext w:val="0"/>
              <w:keepLines w:val="0"/>
              <w:widowControl/>
              <w:suppressLineNumbers w:val="0"/>
              <w:jc w:val="left"/>
              <w:textAlignment w:val="center"/>
              <w:rPr>
                <w:rFonts w:hint="eastAsia" w:ascii="宋体" w:hAnsi="宋体" w:eastAsia="宋体" w:cs="宋体"/>
                <w:b/>
                <w:bCs/>
                <w:color w:val="1A2029"/>
                <w:kern w:val="0"/>
                <w:sz w:val="21"/>
                <w:szCs w:val="21"/>
                <w14:ligatures w14:val="none"/>
              </w:rPr>
            </w:pPr>
            <w:r>
              <w:rPr>
                <w:rFonts w:hint="eastAsia" w:ascii="宋体" w:hAnsi="宋体" w:eastAsia="宋体" w:cs="宋体"/>
                <w:b/>
                <w:bCs/>
                <w:i w:val="0"/>
                <w:iCs w:val="0"/>
                <w:color w:val="1A2029"/>
                <w:kern w:val="0"/>
                <w:sz w:val="21"/>
                <w:szCs w:val="21"/>
                <w:u w:val="none"/>
                <w:lang w:val="en-US" w:eastAsia="zh-CN" w:bidi="ar"/>
                <w14:ligatures w14:val="standardContextual"/>
              </w:rPr>
              <w:t>是否中标</w:t>
            </w:r>
          </w:p>
        </w:tc>
      </w:tr>
      <w:tr w14:paraId="0D297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1" w:hRule="atLeast"/>
        </w:trPr>
        <w:tc>
          <w:tcPr>
            <w:tcW w:w="487" w:type="dxa"/>
            <w:tcMar>
              <w:top w:w="180" w:type="dxa"/>
              <w:left w:w="180" w:type="dxa"/>
              <w:bottom w:w="180" w:type="dxa"/>
              <w:right w:w="180" w:type="dxa"/>
            </w:tcMar>
            <w:vAlign w:val="center"/>
          </w:tcPr>
          <w:p w14:paraId="2770D657">
            <w:pPr>
              <w:keepNext w:val="0"/>
              <w:keepLines w:val="0"/>
              <w:widowControl/>
              <w:suppressLineNumbers w:val="0"/>
              <w:jc w:val="center"/>
              <w:textAlignment w:val="center"/>
              <w:rPr>
                <w:rFonts w:hint="eastAsia" w:ascii="宋体" w:hAnsi="宋体" w:eastAsia="宋体" w:cs="宋体"/>
                <w:b/>
                <w:bCs/>
                <w:color w:val="1A2029"/>
                <w:kern w:val="0"/>
                <w:sz w:val="28"/>
                <w:szCs w:val="28"/>
                <w14:ligatures w14:val="none"/>
              </w:rPr>
            </w:pPr>
            <w:r>
              <w:rPr>
                <w:rFonts w:hint="eastAsia" w:ascii="宋体" w:hAnsi="宋体" w:eastAsia="宋体" w:cs="宋体"/>
                <w:b/>
                <w:bCs/>
                <w:i w:val="0"/>
                <w:iCs w:val="0"/>
                <w:color w:val="1A2029"/>
                <w:kern w:val="0"/>
                <w:sz w:val="28"/>
                <w:szCs w:val="28"/>
                <w:u w:val="none"/>
                <w:lang w:val="en-US" w:eastAsia="zh-CN" w:bidi="ar"/>
                <w14:ligatures w14:val="standardContextual"/>
              </w:rPr>
              <w:t>1</w:t>
            </w:r>
          </w:p>
        </w:tc>
        <w:tc>
          <w:tcPr>
            <w:tcW w:w="3095" w:type="dxa"/>
            <w:tcMar>
              <w:top w:w="180" w:type="dxa"/>
              <w:left w:w="180" w:type="dxa"/>
              <w:bottom w:w="180" w:type="dxa"/>
              <w:right w:w="180" w:type="dxa"/>
            </w:tcMar>
            <w:vAlign w:val="center"/>
          </w:tcPr>
          <w:p w14:paraId="2EDB9203">
            <w:pPr>
              <w:jc w:val="left"/>
              <w:rPr>
                <w:rFonts w:hint="eastAsia" w:ascii="宋体" w:hAnsi="宋体" w:eastAsia="宋体" w:cs="宋体"/>
                <w:b/>
                <w:bCs/>
                <w:color w:val="1A2029"/>
                <w:kern w:val="0"/>
                <w:sz w:val="28"/>
                <w:szCs w:val="28"/>
                <w14:ligatures w14:val="none"/>
              </w:rPr>
            </w:pPr>
          </w:p>
        </w:tc>
        <w:tc>
          <w:tcPr>
            <w:tcW w:w="1050" w:type="dxa"/>
            <w:tcMar>
              <w:top w:w="180" w:type="dxa"/>
              <w:left w:w="180" w:type="dxa"/>
              <w:bottom w:w="180" w:type="dxa"/>
              <w:right w:w="180" w:type="dxa"/>
            </w:tcMar>
            <w:vAlign w:val="center"/>
          </w:tcPr>
          <w:p w14:paraId="387D3EBA">
            <w:pPr>
              <w:jc w:val="left"/>
              <w:rPr>
                <w:rFonts w:hint="eastAsia" w:ascii="宋体" w:hAnsi="宋体" w:eastAsia="宋体" w:cs="宋体"/>
                <w:b/>
                <w:bCs/>
                <w:color w:val="1A2029"/>
                <w:kern w:val="0"/>
                <w:sz w:val="28"/>
                <w:szCs w:val="28"/>
                <w14:ligatures w14:val="none"/>
              </w:rPr>
            </w:pPr>
          </w:p>
        </w:tc>
        <w:tc>
          <w:tcPr>
            <w:tcW w:w="1150" w:type="dxa"/>
            <w:tcMar>
              <w:top w:w="180" w:type="dxa"/>
              <w:left w:w="180" w:type="dxa"/>
              <w:bottom w:w="180" w:type="dxa"/>
              <w:right w:w="180" w:type="dxa"/>
            </w:tcMar>
            <w:vAlign w:val="center"/>
          </w:tcPr>
          <w:p w14:paraId="37DC43E8">
            <w:pPr>
              <w:jc w:val="left"/>
              <w:rPr>
                <w:rFonts w:hint="eastAsia" w:ascii="宋体" w:hAnsi="宋体" w:eastAsia="宋体" w:cs="宋体"/>
                <w:b/>
                <w:bCs/>
                <w:color w:val="1A2029"/>
                <w:kern w:val="0"/>
                <w:sz w:val="28"/>
                <w:szCs w:val="28"/>
                <w14:ligatures w14:val="none"/>
              </w:rPr>
            </w:pPr>
          </w:p>
        </w:tc>
        <w:tc>
          <w:tcPr>
            <w:tcW w:w="1313" w:type="dxa"/>
            <w:tcMar>
              <w:top w:w="180" w:type="dxa"/>
              <w:left w:w="180" w:type="dxa"/>
              <w:bottom w:w="180" w:type="dxa"/>
              <w:right w:w="180" w:type="dxa"/>
            </w:tcMar>
            <w:vAlign w:val="center"/>
          </w:tcPr>
          <w:p w14:paraId="1825E90F">
            <w:pPr>
              <w:jc w:val="left"/>
              <w:rPr>
                <w:rFonts w:hint="eastAsia" w:ascii="宋体" w:hAnsi="宋体" w:eastAsia="宋体" w:cs="宋体"/>
                <w:b/>
                <w:bCs/>
                <w:color w:val="1A2029"/>
                <w:kern w:val="0"/>
                <w:sz w:val="28"/>
                <w:szCs w:val="28"/>
                <w14:ligatures w14:val="none"/>
              </w:rPr>
            </w:pPr>
          </w:p>
        </w:tc>
        <w:tc>
          <w:tcPr>
            <w:tcW w:w="1050" w:type="dxa"/>
            <w:tcMar>
              <w:top w:w="180" w:type="dxa"/>
              <w:left w:w="180" w:type="dxa"/>
              <w:bottom w:w="180" w:type="dxa"/>
              <w:right w:w="180" w:type="dxa"/>
            </w:tcMar>
            <w:vAlign w:val="center"/>
          </w:tcPr>
          <w:p w14:paraId="016AACC2">
            <w:pPr>
              <w:jc w:val="left"/>
              <w:rPr>
                <w:rFonts w:hint="eastAsia" w:ascii="宋体" w:hAnsi="宋体" w:eastAsia="宋体" w:cs="宋体"/>
                <w:b/>
                <w:bCs/>
                <w:color w:val="1A2029"/>
                <w:kern w:val="0"/>
                <w:sz w:val="28"/>
                <w:szCs w:val="28"/>
                <w14:ligatures w14:val="none"/>
              </w:rPr>
            </w:pPr>
          </w:p>
        </w:tc>
        <w:tc>
          <w:tcPr>
            <w:tcW w:w="650" w:type="dxa"/>
            <w:tcMar>
              <w:top w:w="180" w:type="dxa"/>
              <w:left w:w="180" w:type="dxa"/>
              <w:bottom w:w="180" w:type="dxa"/>
              <w:right w:w="180" w:type="dxa"/>
            </w:tcMar>
            <w:vAlign w:val="center"/>
          </w:tcPr>
          <w:p w14:paraId="74724CD0">
            <w:pPr>
              <w:jc w:val="left"/>
              <w:rPr>
                <w:rFonts w:hint="eastAsia" w:ascii="宋体" w:hAnsi="宋体" w:eastAsia="宋体" w:cs="宋体"/>
                <w:b/>
                <w:bCs/>
                <w:color w:val="1A2029"/>
                <w:kern w:val="0"/>
                <w:sz w:val="28"/>
                <w:szCs w:val="28"/>
                <w14:ligatures w14:val="none"/>
              </w:rPr>
            </w:pPr>
          </w:p>
        </w:tc>
        <w:tc>
          <w:tcPr>
            <w:tcW w:w="787" w:type="dxa"/>
            <w:tcMar>
              <w:top w:w="180" w:type="dxa"/>
              <w:left w:w="180" w:type="dxa"/>
              <w:bottom w:w="180" w:type="dxa"/>
              <w:right w:w="180" w:type="dxa"/>
            </w:tcMar>
            <w:vAlign w:val="center"/>
          </w:tcPr>
          <w:p w14:paraId="5FF9CC8F">
            <w:pPr>
              <w:jc w:val="left"/>
              <w:rPr>
                <w:rFonts w:hint="eastAsia" w:ascii="宋体" w:hAnsi="宋体" w:eastAsia="宋体" w:cs="宋体"/>
                <w:b/>
                <w:bCs/>
                <w:color w:val="1A2029"/>
                <w:kern w:val="0"/>
                <w:sz w:val="28"/>
                <w:szCs w:val="28"/>
                <w14:ligatures w14:val="none"/>
              </w:rPr>
            </w:pPr>
          </w:p>
        </w:tc>
      </w:tr>
      <w:tr w14:paraId="48008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6" w:hRule="atLeast"/>
        </w:trPr>
        <w:tc>
          <w:tcPr>
            <w:tcW w:w="487" w:type="dxa"/>
            <w:tcMar>
              <w:top w:w="180" w:type="dxa"/>
              <w:left w:w="180" w:type="dxa"/>
              <w:bottom w:w="180" w:type="dxa"/>
              <w:right w:w="180" w:type="dxa"/>
            </w:tcMar>
            <w:vAlign w:val="center"/>
          </w:tcPr>
          <w:p w14:paraId="0BFC5EFC">
            <w:pPr>
              <w:keepNext w:val="0"/>
              <w:keepLines w:val="0"/>
              <w:widowControl/>
              <w:suppressLineNumbers w:val="0"/>
              <w:jc w:val="center"/>
              <w:textAlignment w:val="center"/>
              <w:rPr>
                <w:rFonts w:hint="eastAsia" w:ascii="宋体" w:hAnsi="宋体" w:eastAsia="宋体" w:cs="宋体"/>
                <w:b/>
                <w:bCs/>
                <w:color w:val="1A2029"/>
                <w:kern w:val="0"/>
                <w:sz w:val="28"/>
                <w:szCs w:val="28"/>
                <w14:ligatures w14:val="none"/>
              </w:rPr>
            </w:pPr>
            <w:r>
              <w:rPr>
                <w:rFonts w:hint="eastAsia" w:ascii="宋体" w:hAnsi="宋体" w:eastAsia="宋体" w:cs="宋体"/>
                <w:b/>
                <w:bCs/>
                <w:i w:val="0"/>
                <w:iCs w:val="0"/>
                <w:color w:val="1A2029"/>
                <w:kern w:val="0"/>
                <w:sz w:val="28"/>
                <w:szCs w:val="28"/>
                <w:u w:val="none"/>
                <w:lang w:val="en-US" w:eastAsia="zh-CN" w:bidi="ar"/>
                <w14:ligatures w14:val="standardContextual"/>
              </w:rPr>
              <w:t>2</w:t>
            </w:r>
          </w:p>
        </w:tc>
        <w:tc>
          <w:tcPr>
            <w:tcW w:w="3095" w:type="dxa"/>
            <w:tcMar>
              <w:top w:w="180" w:type="dxa"/>
              <w:left w:w="180" w:type="dxa"/>
              <w:bottom w:w="180" w:type="dxa"/>
              <w:right w:w="180" w:type="dxa"/>
            </w:tcMar>
            <w:vAlign w:val="center"/>
          </w:tcPr>
          <w:p w14:paraId="6BD498AD">
            <w:pPr>
              <w:jc w:val="left"/>
              <w:rPr>
                <w:rFonts w:hint="eastAsia" w:ascii="宋体" w:hAnsi="宋体" w:eastAsia="宋体" w:cs="宋体"/>
                <w:b/>
                <w:bCs/>
                <w:color w:val="1A2029"/>
                <w:kern w:val="0"/>
                <w:sz w:val="28"/>
                <w:szCs w:val="28"/>
                <w14:ligatures w14:val="none"/>
              </w:rPr>
            </w:pPr>
          </w:p>
        </w:tc>
        <w:tc>
          <w:tcPr>
            <w:tcW w:w="1050" w:type="dxa"/>
            <w:tcMar>
              <w:top w:w="180" w:type="dxa"/>
              <w:left w:w="180" w:type="dxa"/>
              <w:bottom w:w="180" w:type="dxa"/>
              <w:right w:w="180" w:type="dxa"/>
            </w:tcMar>
            <w:vAlign w:val="center"/>
          </w:tcPr>
          <w:p w14:paraId="55F2085A">
            <w:pPr>
              <w:jc w:val="left"/>
              <w:rPr>
                <w:rFonts w:hint="eastAsia" w:ascii="宋体" w:hAnsi="宋体" w:eastAsia="宋体" w:cs="宋体"/>
                <w:b/>
                <w:bCs/>
                <w:color w:val="1A2029"/>
                <w:kern w:val="0"/>
                <w:sz w:val="28"/>
                <w:szCs w:val="28"/>
                <w14:ligatures w14:val="none"/>
              </w:rPr>
            </w:pPr>
          </w:p>
        </w:tc>
        <w:tc>
          <w:tcPr>
            <w:tcW w:w="1150" w:type="dxa"/>
            <w:tcMar>
              <w:top w:w="180" w:type="dxa"/>
              <w:left w:w="180" w:type="dxa"/>
              <w:bottom w:w="180" w:type="dxa"/>
              <w:right w:w="180" w:type="dxa"/>
            </w:tcMar>
            <w:vAlign w:val="center"/>
          </w:tcPr>
          <w:p w14:paraId="413746ED">
            <w:pPr>
              <w:jc w:val="left"/>
              <w:rPr>
                <w:rFonts w:hint="eastAsia" w:ascii="宋体" w:hAnsi="宋体" w:eastAsia="宋体" w:cs="宋体"/>
                <w:b/>
                <w:bCs/>
                <w:color w:val="1A2029"/>
                <w:kern w:val="0"/>
                <w:sz w:val="28"/>
                <w:szCs w:val="28"/>
                <w14:ligatures w14:val="none"/>
              </w:rPr>
            </w:pPr>
          </w:p>
        </w:tc>
        <w:tc>
          <w:tcPr>
            <w:tcW w:w="1313" w:type="dxa"/>
            <w:tcMar>
              <w:top w:w="180" w:type="dxa"/>
              <w:left w:w="180" w:type="dxa"/>
              <w:bottom w:w="180" w:type="dxa"/>
              <w:right w:w="180" w:type="dxa"/>
            </w:tcMar>
            <w:vAlign w:val="center"/>
          </w:tcPr>
          <w:p w14:paraId="00A8D0F6">
            <w:pPr>
              <w:jc w:val="left"/>
              <w:rPr>
                <w:rFonts w:hint="eastAsia" w:ascii="宋体" w:hAnsi="宋体" w:eastAsia="宋体" w:cs="宋体"/>
                <w:b/>
                <w:bCs/>
                <w:color w:val="1A2029"/>
                <w:kern w:val="0"/>
                <w:sz w:val="28"/>
                <w:szCs w:val="28"/>
                <w14:ligatures w14:val="none"/>
              </w:rPr>
            </w:pPr>
          </w:p>
        </w:tc>
        <w:tc>
          <w:tcPr>
            <w:tcW w:w="1050" w:type="dxa"/>
            <w:tcMar>
              <w:top w:w="180" w:type="dxa"/>
              <w:left w:w="180" w:type="dxa"/>
              <w:bottom w:w="180" w:type="dxa"/>
              <w:right w:w="180" w:type="dxa"/>
            </w:tcMar>
            <w:vAlign w:val="center"/>
          </w:tcPr>
          <w:p w14:paraId="67651F31">
            <w:pPr>
              <w:jc w:val="left"/>
              <w:rPr>
                <w:rFonts w:hint="eastAsia" w:ascii="宋体" w:hAnsi="宋体" w:eastAsia="宋体" w:cs="宋体"/>
                <w:b/>
                <w:bCs/>
                <w:color w:val="1A2029"/>
                <w:kern w:val="0"/>
                <w:sz w:val="28"/>
                <w:szCs w:val="28"/>
                <w14:ligatures w14:val="none"/>
              </w:rPr>
            </w:pPr>
          </w:p>
        </w:tc>
        <w:tc>
          <w:tcPr>
            <w:tcW w:w="650" w:type="dxa"/>
            <w:tcMar>
              <w:top w:w="180" w:type="dxa"/>
              <w:left w:w="180" w:type="dxa"/>
              <w:bottom w:w="180" w:type="dxa"/>
              <w:right w:w="180" w:type="dxa"/>
            </w:tcMar>
            <w:vAlign w:val="center"/>
          </w:tcPr>
          <w:p w14:paraId="2D6A92FD">
            <w:pPr>
              <w:jc w:val="left"/>
              <w:rPr>
                <w:rFonts w:hint="eastAsia" w:ascii="宋体" w:hAnsi="宋体" w:eastAsia="宋体" w:cs="宋体"/>
                <w:b/>
                <w:bCs/>
                <w:color w:val="1A2029"/>
                <w:kern w:val="0"/>
                <w:sz w:val="28"/>
                <w:szCs w:val="28"/>
                <w14:ligatures w14:val="none"/>
              </w:rPr>
            </w:pPr>
          </w:p>
        </w:tc>
        <w:tc>
          <w:tcPr>
            <w:tcW w:w="787" w:type="dxa"/>
            <w:tcMar>
              <w:top w:w="180" w:type="dxa"/>
              <w:left w:w="180" w:type="dxa"/>
              <w:bottom w:w="180" w:type="dxa"/>
              <w:right w:w="180" w:type="dxa"/>
            </w:tcMar>
            <w:vAlign w:val="center"/>
          </w:tcPr>
          <w:p w14:paraId="6C95C056">
            <w:pPr>
              <w:jc w:val="left"/>
              <w:rPr>
                <w:rFonts w:hint="eastAsia" w:ascii="宋体" w:hAnsi="宋体" w:eastAsia="宋体" w:cs="宋体"/>
                <w:b/>
                <w:bCs/>
                <w:color w:val="1A2029"/>
                <w:kern w:val="0"/>
                <w:sz w:val="28"/>
                <w:szCs w:val="28"/>
                <w14:ligatures w14:val="none"/>
              </w:rPr>
            </w:pPr>
          </w:p>
        </w:tc>
      </w:tr>
      <w:tr w14:paraId="31D79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7" w:hRule="atLeast"/>
        </w:trPr>
        <w:tc>
          <w:tcPr>
            <w:tcW w:w="487" w:type="dxa"/>
            <w:tcMar>
              <w:top w:w="180" w:type="dxa"/>
              <w:left w:w="180" w:type="dxa"/>
              <w:bottom w:w="180" w:type="dxa"/>
              <w:right w:w="180" w:type="dxa"/>
            </w:tcMar>
            <w:vAlign w:val="center"/>
          </w:tcPr>
          <w:p w14:paraId="575DCE45">
            <w:pPr>
              <w:keepNext w:val="0"/>
              <w:keepLines w:val="0"/>
              <w:widowControl/>
              <w:suppressLineNumbers w:val="0"/>
              <w:jc w:val="center"/>
              <w:textAlignment w:val="center"/>
              <w:rPr>
                <w:rFonts w:hint="eastAsia" w:ascii="宋体" w:hAnsi="宋体" w:eastAsia="宋体" w:cs="宋体"/>
                <w:b/>
                <w:bCs/>
                <w:color w:val="1A2029"/>
                <w:kern w:val="0"/>
                <w:sz w:val="28"/>
                <w:szCs w:val="28"/>
                <w14:ligatures w14:val="none"/>
              </w:rPr>
            </w:pPr>
            <w:r>
              <w:rPr>
                <w:rFonts w:hint="eastAsia" w:ascii="宋体" w:hAnsi="宋体" w:eastAsia="宋体" w:cs="宋体"/>
                <w:b/>
                <w:bCs/>
                <w:i w:val="0"/>
                <w:iCs w:val="0"/>
                <w:color w:val="1A2029"/>
                <w:kern w:val="0"/>
                <w:sz w:val="28"/>
                <w:szCs w:val="28"/>
                <w:u w:val="none"/>
                <w:lang w:val="en-US" w:eastAsia="zh-CN" w:bidi="ar"/>
                <w14:ligatures w14:val="standardContextual"/>
              </w:rPr>
              <w:t>3</w:t>
            </w:r>
          </w:p>
        </w:tc>
        <w:tc>
          <w:tcPr>
            <w:tcW w:w="3095" w:type="dxa"/>
            <w:tcMar>
              <w:top w:w="180" w:type="dxa"/>
              <w:left w:w="180" w:type="dxa"/>
              <w:bottom w:w="180" w:type="dxa"/>
              <w:right w:w="180" w:type="dxa"/>
            </w:tcMar>
            <w:vAlign w:val="center"/>
          </w:tcPr>
          <w:p w14:paraId="44BF0BED">
            <w:pPr>
              <w:jc w:val="left"/>
              <w:rPr>
                <w:rFonts w:hint="eastAsia" w:ascii="宋体" w:hAnsi="宋体" w:eastAsia="宋体" w:cs="宋体"/>
                <w:b/>
                <w:bCs/>
                <w:color w:val="1A2029"/>
                <w:kern w:val="0"/>
                <w:sz w:val="28"/>
                <w:szCs w:val="28"/>
                <w14:ligatures w14:val="none"/>
              </w:rPr>
            </w:pPr>
          </w:p>
        </w:tc>
        <w:tc>
          <w:tcPr>
            <w:tcW w:w="1050" w:type="dxa"/>
            <w:tcMar>
              <w:top w:w="180" w:type="dxa"/>
              <w:left w:w="180" w:type="dxa"/>
              <w:bottom w:w="180" w:type="dxa"/>
              <w:right w:w="180" w:type="dxa"/>
            </w:tcMar>
            <w:vAlign w:val="center"/>
          </w:tcPr>
          <w:p w14:paraId="70395B49">
            <w:pPr>
              <w:jc w:val="left"/>
              <w:rPr>
                <w:rFonts w:hint="eastAsia" w:ascii="宋体" w:hAnsi="宋体" w:eastAsia="宋体" w:cs="宋体"/>
                <w:b/>
                <w:bCs/>
                <w:color w:val="1A2029"/>
                <w:kern w:val="0"/>
                <w:sz w:val="28"/>
                <w:szCs w:val="28"/>
                <w14:ligatures w14:val="none"/>
              </w:rPr>
            </w:pPr>
          </w:p>
        </w:tc>
        <w:tc>
          <w:tcPr>
            <w:tcW w:w="1150" w:type="dxa"/>
            <w:tcMar>
              <w:top w:w="180" w:type="dxa"/>
              <w:left w:w="180" w:type="dxa"/>
              <w:bottom w:w="180" w:type="dxa"/>
              <w:right w:w="180" w:type="dxa"/>
            </w:tcMar>
            <w:vAlign w:val="center"/>
          </w:tcPr>
          <w:p w14:paraId="636FF7B4">
            <w:pPr>
              <w:jc w:val="left"/>
              <w:rPr>
                <w:rFonts w:hint="eastAsia" w:ascii="宋体" w:hAnsi="宋体" w:eastAsia="宋体" w:cs="宋体"/>
                <w:b/>
                <w:bCs/>
                <w:color w:val="1A2029"/>
                <w:kern w:val="0"/>
                <w:sz w:val="28"/>
                <w:szCs w:val="28"/>
                <w14:ligatures w14:val="none"/>
              </w:rPr>
            </w:pPr>
          </w:p>
        </w:tc>
        <w:tc>
          <w:tcPr>
            <w:tcW w:w="1313" w:type="dxa"/>
            <w:tcMar>
              <w:top w:w="180" w:type="dxa"/>
              <w:left w:w="180" w:type="dxa"/>
              <w:bottom w:w="180" w:type="dxa"/>
              <w:right w:w="180" w:type="dxa"/>
            </w:tcMar>
            <w:vAlign w:val="center"/>
          </w:tcPr>
          <w:p w14:paraId="597E9BB7">
            <w:pPr>
              <w:jc w:val="left"/>
              <w:rPr>
                <w:rFonts w:hint="eastAsia" w:ascii="宋体" w:hAnsi="宋体" w:eastAsia="宋体" w:cs="宋体"/>
                <w:b/>
                <w:bCs/>
                <w:color w:val="1A2029"/>
                <w:kern w:val="0"/>
                <w:sz w:val="28"/>
                <w:szCs w:val="28"/>
                <w14:ligatures w14:val="none"/>
              </w:rPr>
            </w:pPr>
          </w:p>
        </w:tc>
        <w:tc>
          <w:tcPr>
            <w:tcW w:w="1050" w:type="dxa"/>
            <w:tcMar>
              <w:top w:w="180" w:type="dxa"/>
              <w:left w:w="180" w:type="dxa"/>
              <w:bottom w:w="180" w:type="dxa"/>
              <w:right w:w="180" w:type="dxa"/>
            </w:tcMar>
            <w:vAlign w:val="center"/>
          </w:tcPr>
          <w:p w14:paraId="6928A7D3">
            <w:pPr>
              <w:jc w:val="left"/>
              <w:rPr>
                <w:rFonts w:hint="eastAsia" w:ascii="宋体" w:hAnsi="宋体" w:eastAsia="宋体" w:cs="宋体"/>
                <w:b/>
                <w:bCs/>
                <w:color w:val="1A2029"/>
                <w:kern w:val="0"/>
                <w:sz w:val="28"/>
                <w:szCs w:val="28"/>
                <w14:ligatures w14:val="none"/>
              </w:rPr>
            </w:pPr>
          </w:p>
        </w:tc>
        <w:tc>
          <w:tcPr>
            <w:tcW w:w="650" w:type="dxa"/>
            <w:tcMar>
              <w:top w:w="180" w:type="dxa"/>
              <w:left w:w="180" w:type="dxa"/>
              <w:bottom w:w="180" w:type="dxa"/>
              <w:right w:w="180" w:type="dxa"/>
            </w:tcMar>
            <w:vAlign w:val="center"/>
          </w:tcPr>
          <w:p w14:paraId="57BB3C84">
            <w:pPr>
              <w:jc w:val="left"/>
              <w:rPr>
                <w:rFonts w:hint="eastAsia" w:ascii="宋体" w:hAnsi="宋体" w:eastAsia="宋体" w:cs="宋体"/>
                <w:b/>
                <w:bCs/>
                <w:color w:val="1A2029"/>
                <w:kern w:val="0"/>
                <w:sz w:val="28"/>
                <w:szCs w:val="28"/>
                <w14:ligatures w14:val="none"/>
              </w:rPr>
            </w:pPr>
          </w:p>
        </w:tc>
        <w:tc>
          <w:tcPr>
            <w:tcW w:w="787" w:type="dxa"/>
            <w:tcMar>
              <w:top w:w="180" w:type="dxa"/>
              <w:left w:w="180" w:type="dxa"/>
              <w:bottom w:w="180" w:type="dxa"/>
              <w:right w:w="180" w:type="dxa"/>
            </w:tcMar>
            <w:vAlign w:val="center"/>
          </w:tcPr>
          <w:p w14:paraId="450D7F40">
            <w:pPr>
              <w:jc w:val="left"/>
              <w:rPr>
                <w:rFonts w:hint="eastAsia" w:ascii="宋体" w:hAnsi="宋体" w:eastAsia="宋体" w:cs="宋体"/>
                <w:b/>
                <w:bCs/>
                <w:color w:val="1A2029"/>
                <w:kern w:val="0"/>
                <w:sz w:val="28"/>
                <w:szCs w:val="28"/>
                <w14:ligatures w14:val="none"/>
              </w:rPr>
            </w:pPr>
          </w:p>
        </w:tc>
      </w:tr>
      <w:tr w14:paraId="69A10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87" w:type="dxa"/>
            <w:tcMar>
              <w:top w:w="180" w:type="dxa"/>
              <w:left w:w="180" w:type="dxa"/>
              <w:bottom w:w="180" w:type="dxa"/>
              <w:right w:w="180" w:type="dxa"/>
            </w:tcMar>
            <w:vAlign w:val="center"/>
          </w:tcPr>
          <w:p w14:paraId="36FA00C9">
            <w:pPr>
              <w:keepNext w:val="0"/>
              <w:keepLines w:val="0"/>
              <w:widowControl/>
              <w:suppressLineNumbers w:val="0"/>
              <w:jc w:val="center"/>
              <w:textAlignment w:val="center"/>
              <w:rPr>
                <w:rFonts w:hint="eastAsia" w:ascii="宋体" w:hAnsi="宋体" w:eastAsia="宋体" w:cs="宋体"/>
                <w:b/>
                <w:bCs/>
                <w:color w:val="1A2029"/>
                <w:kern w:val="0"/>
                <w:sz w:val="28"/>
                <w:szCs w:val="28"/>
                <w14:ligatures w14:val="none"/>
              </w:rPr>
            </w:pPr>
            <w:r>
              <w:rPr>
                <w:rFonts w:hint="eastAsia" w:ascii="宋体" w:hAnsi="宋体" w:eastAsia="宋体" w:cs="宋体"/>
                <w:b/>
                <w:bCs/>
                <w:i w:val="0"/>
                <w:iCs w:val="0"/>
                <w:color w:val="1A2029"/>
                <w:kern w:val="0"/>
                <w:sz w:val="28"/>
                <w:szCs w:val="28"/>
                <w:u w:val="none"/>
                <w:lang w:val="en-US" w:eastAsia="zh-CN" w:bidi="ar"/>
                <w14:ligatures w14:val="standardContextual"/>
              </w:rPr>
              <w:t>4</w:t>
            </w:r>
          </w:p>
        </w:tc>
        <w:tc>
          <w:tcPr>
            <w:tcW w:w="3095" w:type="dxa"/>
            <w:tcMar>
              <w:top w:w="180" w:type="dxa"/>
              <w:left w:w="180" w:type="dxa"/>
              <w:bottom w:w="180" w:type="dxa"/>
              <w:right w:w="180" w:type="dxa"/>
            </w:tcMar>
            <w:vAlign w:val="center"/>
          </w:tcPr>
          <w:p w14:paraId="2FFCF7D0">
            <w:pPr>
              <w:jc w:val="left"/>
              <w:rPr>
                <w:rFonts w:hint="eastAsia" w:ascii="宋体" w:hAnsi="宋体" w:eastAsia="宋体" w:cs="宋体"/>
                <w:b/>
                <w:bCs/>
                <w:color w:val="1A2029"/>
                <w:kern w:val="0"/>
                <w:sz w:val="28"/>
                <w:szCs w:val="28"/>
                <w14:ligatures w14:val="none"/>
              </w:rPr>
            </w:pPr>
          </w:p>
        </w:tc>
        <w:tc>
          <w:tcPr>
            <w:tcW w:w="1050" w:type="dxa"/>
            <w:tcMar>
              <w:top w:w="180" w:type="dxa"/>
              <w:left w:w="180" w:type="dxa"/>
              <w:bottom w:w="180" w:type="dxa"/>
              <w:right w:w="180" w:type="dxa"/>
            </w:tcMar>
            <w:vAlign w:val="center"/>
          </w:tcPr>
          <w:p w14:paraId="16BBA368">
            <w:pPr>
              <w:jc w:val="left"/>
              <w:rPr>
                <w:rFonts w:hint="eastAsia" w:ascii="宋体" w:hAnsi="宋体" w:eastAsia="宋体" w:cs="宋体"/>
                <w:b/>
                <w:bCs/>
                <w:color w:val="1A2029"/>
                <w:kern w:val="0"/>
                <w:sz w:val="28"/>
                <w:szCs w:val="28"/>
                <w14:ligatures w14:val="none"/>
              </w:rPr>
            </w:pPr>
          </w:p>
        </w:tc>
        <w:tc>
          <w:tcPr>
            <w:tcW w:w="1150" w:type="dxa"/>
            <w:tcMar>
              <w:top w:w="180" w:type="dxa"/>
              <w:left w:w="180" w:type="dxa"/>
              <w:bottom w:w="180" w:type="dxa"/>
              <w:right w:w="180" w:type="dxa"/>
            </w:tcMar>
            <w:vAlign w:val="center"/>
          </w:tcPr>
          <w:p w14:paraId="37789324">
            <w:pPr>
              <w:jc w:val="left"/>
              <w:rPr>
                <w:rFonts w:hint="eastAsia" w:ascii="宋体" w:hAnsi="宋体" w:eastAsia="宋体" w:cs="宋体"/>
                <w:b/>
                <w:bCs/>
                <w:color w:val="1A2029"/>
                <w:kern w:val="0"/>
                <w:sz w:val="28"/>
                <w:szCs w:val="28"/>
                <w14:ligatures w14:val="none"/>
              </w:rPr>
            </w:pPr>
          </w:p>
        </w:tc>
        <w:tc>
          <w:tcPr>
            <w:tcW w:w="1313" w:type="dxa"/>
            <w:tcMar>
              <w:top w:w="180" w:type="dxa"/>
              <w:left w:w="180" w:type="dxa"/>
              <w:bottom w:w="180" w:type="dxa"/>
              <w:right w:w="180" w:type="dxa"/>
            </w:tcMar>
            <w:vAlign w:val="center"/>
          </w:tcPr>
          <w:p w14:paraId="27B1950F">
            <w:pPr>
              <w:jc w:val="left"/>
              <w:rPr>
                <w:rFonts w:hint="eastAsia" w:ascii="宋体" w:hAnsi="宋体" w:eastAsia="宋体" w:cs="宋体"/>
                <w:b/>
                <w:bCs/>
                <w:color w:val="1A2029"/>
                <w:kern w:val="0"/>
                <w:sz w:val="28"/>
                <w:szCs w:val="28"/>
                <w14:ligatures w14:val="none"/>
              </w:rPr>
            </w:pPr>
          </w:p>
        </w:tc>
        <w:tc>
          <w:tcPr>
            <w:tcW w:w="1050" w:type="dxa"/>
            <w:tcMar>
              <w:top w:w="180" w:type="dxa"/>
              <w:left w:w="180" w:type="dxa"/>
              <w:bottom w:w="180" w:type="dxa"/>
              <w:right w:w="180" w:type="dxa"/>
            </w:tcMar>
            <w:vAlign w:val="center"/>
          </w:tcPr>
          <w:p w14:paraId="62B03724">
            <w:pPr>
              <w:jc w:val="left"/>
              <w:rPr>
                <w:rFonts w:hint="eastAsia" w:ascii="宋体" w:hAnsi="宋体" w:eastAsia="宋体" w:cs="宋体"/>
                <w:b/>
                <w:bCs/>
                <w:color w:val="1A2029"/>
                <w:kern w:val="0"/>
                <w:sz w:val="28"/>
                <w:szCs w:val="28"/>
                <w14:ligatures w14:val="none"/>
              </w:rPr>
            </w:pPr>
          </w:p>
        </w:tc>
        <w:tc>
          <w:tcPr>
            <w:tcW w:w="650" w:type="dxa"/>
            <w:tcMar>
              <w:top w:w="180" w:type="dxa"/>
              <w:left w:w="180" w:type="dxa"/>
              <w:bottom w:w="180" w:type="dxa"/>
              <w:right w:w="180" w:type="dxa"/>
            </w:tcMar>
            <w:vAlign w:val="center"/>
          </w:tcPr>
          <w:p w14:paraId="1D403FFD">
            <w:pPr>
              <w:jc w:val="left"/>
              <w:rPr>
                <w:rFonts w:hint="eastAsia" w:ascii="宋体" w:hAnsi="宋体" w:eastAsia="宋体" w:cs="宋体"/>
                <w:b/>
                <w:bCs/>
                <w:color w:val="1A2029"/>
                <w:kern w:val="0"/>
                <w:sz w:val="28"/>
                <w:szCs w:val="28"/>
                <w14:ligatures w14:val="none"/>
              </w:rPr>
            </w:pPr>
          </w:p>
        </w:tc>
        <w:tc>
          <w:tcPr>
            <w:tcW w:w="787" w:type="dxa"/>
            <w:tcMar>
              <w:top w:w="180" w:type="dxa"/>
              <w:left w:w="180" w:type="dxa"/>
              <w:bottom w:w="180" w:type="dxa"/>
              <w:right w:w="180" w:type="dxa"/>
            </w:tcMar>
            <w:vAlign w:val="center"/>
          </w:tcPr>
          <w:p w14:paraId="44E39391">
            <w:pPr>
              <w:jc w:val="left"/>
              <w:rPr>
                <w:rFonts w:hint="eastAsia" w:ascii="宋体" w:hAnsi="宋体" w:eastAsia="宋体" w:cs="宋体"/>
                <w:b/>
                <w:bCs/>
                <w:color w:val="1A2029"/>
                <w:kern w:val="0"/>
                <w:sz w:val="28"/>
                <w:szCs w:val="28"/>
                <w14:ligatures w14:val="none"/>
              </w:rPr>
            </w:pPr>
          </w:p>
        </w:tc>
      </w:tr>
      <w:tr w14:paraId="0262E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4" w:hRule="atLeast"/>
        </w:trPr>
        <w:tc>
          <w:tcPr>
            <w:tcW w:w="487" w:type="dxa"/>
            <w:tcMar>
              <w:top w:w="180" w:type="dxa"/>
              <w:left w:w="180" w:type="dxa"/>
              <w:bottom w:w="180" w:type="dxa"/>
              <w:right w:w="180" w:type="dxa"/>
            </w:tcMar>
            <w:vAlign w:val="center"/>
          </w:tcPr>
          <w:p w14:paraId="6184559D">
            <w:pPr>
              <w:keepNext w:val="0"/>
              <w:keepLines w:val="0"/>
              <w:widowControl/>
              <w:suppressLineNumbers w:val="0"/>
              <w:jc w:val="center"/>
              <w:textAlignment w:val="center"/>
              <w:rPr>
                <w:rFonts w:hint="eastAsia" w:ascii="宋体" w:hAnsi="宋体" w:eastAsia="宋体" w:cs="宋体"/>
                <w:b/>
                <w:bCs/>
                <w:color w:val="1A2029"/>
                <w:kern w:val="0"/>
                <w:sz w:val="28"/>
                <w:szCs w:val="28"/>
                <w14:ligatures w14:val="none"/>
              </w:rPr>
            </w:pPr>
            <w:r>
              <w:rPr>
                <w:rFonts w:hint="eastAsia" w:ascii="宋体" w:hAnsi="宋体" w:eastAsia="宋体" w:cs="宋体"/>
                <w:b/>
                <w:bCs/>
                <w:i w:val="0"/>
                <w:iCs w:val="0"/>
                <w:color w:val="1A2029"/>
                <w:kern w:val="0"/>
                <w:sz w:val="28"/>
                <w:szCs w:val="28"/>
                <w:u w:val="none"/>
                <w:lang w:val="en-US" w:eastAsia="zh-CN" w:bidi="ar"/>
                <w14:ligatures w14:val="standardContextual"/>
              </w:rPr>
              <w:t>5</w:t>
            </w:r>
          </w:p>
        </w:tc>
        <w:tc>
          <w:tcPr>
            <w:tcW w:w="3095" w:type="dxa"/>
            <w:tcMar>
              <w:top w:w="180" w:type="dxa"/>
              <w:left w:w="180" w:type="dxa"/>
              <w:bottom w:w="180" w:type="dxa"/>
              <w:right w:w="180" w:type="dxa"/>
            </w:tcMar>
            <w:vAlign w:val="center"/>
          </w:tcPr>
          <w:p w14:paraId="2CD54972">
            <w:pPr>
              <w:jc w:val="left"/>
              <w:rPr>
                <w:rFonts w:hint="eastAsia" w:ascii="宋体" w:hAnsi="宋体" w:eastAsia="宋体" w:cs="宋体"/>
                <w:b/>
                <w:bCs/>
                <w:color w:val="1A2029"/>
                <w:kern w:val="0"/>
                <w:sz w:val="28"/>
                <w:szCs w:val="28"/>
                <w14:ligatures w14:val="none"/>
              </w:rPr>
            </w:pPr>
          </w:p>
        </w:tc>
        <w:tc>
          <w:tcPr>
            <w:tcW w:w="1050" w:type="dxa"/>
            <w:tcMar>
              <w:top w:w="180" w:type="dxa"/>
              <w:left w:w="180" w:type="dxa"/>
              <w:bottom w:w="180" w:type="dxa"/>
              <w:right w:w="180" w:type="dxa"/>
            </w:tcMar>
            <w:vAlign w:val="center"/>
          </w:tcPr>
          <w:p w14:paraId="0D6F52FD">
            <w:pPr>
              <w:jc w:val="left"/>
              <w:rPr>
                <w:rFonts w:hint="eastAsia" w:ascii="宋体" w:hAnsi="宋体" w:eastAsia="宋体" w:cs="宋体"/>
                <w:b/>
                <w:bCs/>
                <w:color w:val="1A2029"/>
                <w:kern w:val="0"/>
                <w:sz w:val="28"/>
                <w:szCs w:val="28"/>
                <w14:ligatures w14:val="none"/>
              </w:rPr>
            </w:pPr>
          </w:p>
        </w:tc>
        <w:tc>
          <w:tcPr>
            <w:tcW w:w="1150" w:type="dxa"/>
            <w:tcMar>
              <w:top w:w="180" w:type="dxa"/>
              <w:left w:w="180" w:type="dxa"/>
              <w:bottom w:w="180" w:type="dxa"/>
              <w:right w:w="180" w:type="dxa"/>
            </w:tcMar>
            <w:vAlign w:val="center"/>
          </w:tcPr>
          <w:p w14:paraId="02CF6CB6">
            <w:pPr>
              <w:jc w:val="left"/>
              <w:rPr>
                <w:rFonts w:hint="eastAsia" w:ascii="宋体" w:hAnsi="宋体" w:eastAsia="宋体" w:cs="宋体"/>
                <w:b/>
                <w:bCs/>
                <w:color w:val="1A2029"/>
                <w:kern w:val="0"/>
                <w:sz w:val="28"/>
                <w:szCs w:val="28"/>
                <w14:ligatures w14:val="none"/>
              </w:rPr>
            </w:pPr>
          </w:p>
        </w:tc>
        <w:tc>
          <w:tcPr>
            <w:tcW w:w="1313" w:type="dxa"/>
            <w:tcMar>
              <w:top w:w="180" w:type="dxa"/>
              <w:left w:w="180" w:type="dxa"/>
              <w:bottom w:w="180" w:type="dxa"/>
              <w:right w:w="180" w:type="dxa"/>
            </w:tcMar>
            <w:vAlign w:val="center"/>
          </w:tcPr>
          <w:p w14:paraId="6A8A2974">
            <w:pPr>
              <w:jc w:val="left"/>
              <w:rPr>
                <w:rFonts w:hint="eastAsia" w:ascii="宋体" w:hAnsi="宋体" w:eastAsia="宋体" w:cs="宋体"/>
                <w:b/>
                <w:bCs/>
                <w:color w:val="1A2029"/>
                <w:kern w:val="0"/>
                <w:sz w:val="28"/>
                <w:szCs w:val="28"/>
                <w14:ligatures w14:val="none"/>
              </w:rPr>
            </w:pPr>
          </w:p>
        </w:tc>
        <w:tc>
          <w:tcPr>
            <w:tcW w:w="1050" w:type="dxa"/>
            <w:tcMar>
              <w:top w:w="180" w:type="dxa"/>
              <w:left w:w="180" w:type="dxa"/>
              <w:bottom w:w="180" w:type="dxa"/>
              <w:right w:w="180" w:type="dxa"/>
            </w:tcMar>
            <w:vAlign w:val="center"/>
          </w:tcPr>
          <w:p w14:paraId="51652ED8">
            <w:pPr>
              <w:jc w:val="left"/>
              <w:rPr>
                <w:rFonts w:hint="eastAsia" w:ascii="宋体" w:hAnsi="宋体" w:eastAsia="宋体" w:cs="宋体"/>
                <w:b/>
                <w:bCs/>
                <w:color w:val="1A2029"/>
                <w:kern w:val="0"/>
                <w:sz w:val="28"/>
                <w:szCs w:val="28"/>
                <w14:ligatures w14:val="none"/>
              </w:rPr>
            </w:pPr>
          </w:p>
        </w:tc>
        <w:tc>
          <w:tcPr>
            <w:tcW w:w="650" w:type="dxa"/>
            <w:tcMar>
              <w:top w:w="180" w:type="dxa"/>
              <w:left w:w="180" w:type="dxa"/>
              <w:bottom w:w="180" w:type="dxa"/>
              <w:right w:w="180" w:type="dxa"/>
            </w:tcMar>
            <w:vAlign w:val="center"/>
          </w:tcPr>
          <w:p w14:paraId="31C2EDEF">
            <w:pPr>
              <w:jc w:val="left"/>
              <w:rPr>
                <w:rFonts w:hint="eastAsia" w:ascii="宋体" w:hAnsi="宋体" w:eastAsia="宋体" w:cs="宋体"/>
                <w:b/>
                <w:bCs/>
                <w:color w:val="1A2029"/>
                <w:kern w:val="0"/>
                <w:sz w:val="28"/>
                <w:szCs w:val="28"/>
                <w14:ligatures w14:val="none"/>
              </w:rPr>
            </w:pPr>
          </w:p>
        </w:tc>
        <w:tc>
          <w:tcPr>
            <w:tcW w:w="787" w:type="dxa"/>
            <w:tcMar>
              <w:top w:w="180" w:type="dxa"/>
              <w:left w:w="180" w:type="dxa"/>
              <w:bottom w:w="180" w:type="dxa"/>
              <w:right w:w="180" w:type="dxa"/>
            </w:tcMar>
            <w:vAlign w:val="center"/>
          </w:tcPr>
          <w:p w14:paraId="1E2EBF05">
            <w:pPr>
              <w:rPr>
                <w:rFonts w:hint="eastAsia" w:ascii="宋体" w:hAnsi="宋体" w:eastAsia="宋体" w:cs="宋体"/>
                <w:b/>
                <w:bCs/>
                <w:color w:val="1A2029"/>
                <w:kern w:val="0"/>
                <w:sz w:val="28"/>
                <w:szCs w:val="28"/>
                <w14:ligatures w14:val="none"/>
              </w:rPr>
            </w:pPr>
          </w:p>
        </w:tc>
      </w:tr>
    </w:tbl>
    <w:p w14:paraId="27C90A22">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开标人员：＿＿＿＿＿　　监督人员：＿＿＿＿＿　　招标负责人：＿＿＿＿＿</w:t>
      </w:r>
    </w:p>
    <w:p w14:paraId="66967159">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公司总经理意见：＿＿＿＿＿　　　　　　　　董事长意见：＿＿＿＿＿</w:t>
      </w:r>
    </w:p>
    <w:p w14:paraId="647414FC">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（评标委员会成员签字栏：＿＿＿＿＿、＿＿＿＿＿、＿＿＿＿＿）</w:t>
      </w:r>
    </w:p>
    <w:p w14:paraId="53A7D51D">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5FFA8532">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5BB625B5">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3BC3085D">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5333E725">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56BEC0BE">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7E27DC9A">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7127D729">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7932DF3C">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53B9B69D">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73AC3949">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126A809F">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70DE4C0D">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37AD4046">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21B947EF">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281E41BC">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4B8BE230">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562A2135">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469A769F">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76B82803">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p w14:paraId="4DE3A12E">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bookmarkStart w:id="0" w:name="_GoBack"/>
      <w:bookmarkEnd w:id="0"/>
      <w:r>
        <w:rPr>
          <w:rFonts w:hint="eastAsia" w:ascii="宋体" w:hAnsi="宋体" w:eastAsia="宋体" w:cs="宋体"/>
          <w:b/>
          <w:bCs/>
          <w:color w:val="1A2029"/>
          <w:kern w:val="0"/>
          <w:sz w:val="28"/>
          <w:szCs w:val="28"/>
          <w14:ligatures w14:val="none"/>
        </w:rPr>
        <w:t>附件三：投标人签到表</w:t>
      </w:r>
    </w:p>
    <w:tbl>
      <w:tblPr>
        <w:tblW w:w="859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561"/>
        <w:gridCol w:w="3138"/>
        <w:gridCol w:w="1362"/>
        <w:gridCol w:w="1250"/>
        <w:gridCol w:w="2288"/>
      </w:tblGrid>
      <w:tr w14:paraId="746F7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0" w:hRule="atLeast"/>
        </w:trPr>
        <w:tc>
          <w:tcPr>
            <w:tcW w:w="561" w:type="dxa"/>
            <w:tcBorders>
              <w:top w:val="single" w:color="000000" w:sz="4" w:space="0"/>
              <w:left w:val="single" w:color="000000" w:sz="4" w:space="0"/>
              <w:bottom w:val="single" w:color="000000" w:sz="4" w:space="0"/>
              <w:right w:val="single" w:color="000000" w:sz="4" w:space="0"/>
            </w:tcBorders>
            <w:shd w:val="clear"/>
            <w:vAlign w:val="center"/>
          </w:tcPr>
          <w:p w14:paraId="4AF71514">
            <w:pPr>
              <w:keepNext w:val="0"/>
              <w:keepLines w:val="0"/>
              <w:widowControl/>
              <w:suppressLineNumbers w:val="0"/>
              <w:jc w:val="left"/>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序号</w:t>
            </w:r>
          </w:p>
        </w:tc>
        <w:tc>
          <w:tcPr>
            <w:tcW w:w="3138" w:type="dxa"/>
            <w:tcBorders>
              <w:top w:val="single" w:color="000000" w:sz="4" w:space="0"/>
              <w:left w:val="single" w:color="000000" w:sz="4" w:space="0"/>
              <w:bottom w:val="single" w:color="000000" w:sz="4" w:space="0"/>
              <w:right w:val="single" w:color="000000" w:sz="4" w:space="0"/>
            </w:tcBorders>
            <w:shd w:val="clear"/>
            <w:vAlign w:val="center"/>
          </w:tcPr>
          <w:p w14:paraId="0AE11917">
            <w:pPr>
              <w:keepNext w:val="0"/>
              <w:keepLines w:val="0"/>
              <w:widowControl/>
              <w:suppressLineNumbers w:val="0"/>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投标人</w:t>
            </w:r>
          </w:p>
        </w:tc>
        <w:tc>
          <w:tcPr>
            <w:tcW w:w="1362" w:type="dxa"/>
            <w:tcBorders>
              <w:top w:val="single" w:color="000000" w:sz="4" w:space="0"/>
              <w:left w:val="single" w:color="000000" w:sz="4" w:space="0"/>
              <w:bottom w:val="single" w:color="000000" w:sz="4" w:space="0"/>
              <w:right w:val="single" w:color="000000" w:sz="4" w:space="0"/>
            </w:tcBorders>
            <w:shd w:val="clear"/>
            <w:vAlign w:val="center"/>
          </w:tcPr>
          <w:p w14:paraId="70875974">
            <w:pPr>
              <w:keepNext w:val="0"/>
              <w:keepLines w:val="0"/>
              <w:widowControl/>
              <w:suppressLineNumbers w:val="0"/>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投标人代表</w:t>
            </w:r>
          </w:p>
        </w:tc>
        <w:tc>
          <w:tcPr>
            <w:tcW w:w="1250" w:type="dxa"/>
            <w:tcBorders>
              <w:top w:val="single" w:color="000000" w:sz="4" w:space="0"/>
              <w:left w:val="single" w:color="000000" w:sz="4" w:space="0"/>
              <w:bottom w:val="single" w:color="000000" w:sz="4" w:space="0"/>
              <w:right w:val="single" w:color="000000" w:sz="4" w:space="0"/>
            </w:tcBorders>
            <w:shd w:val="clear"/>
            <w:vAlign w:val="center"/>
          </w:tcPr>
          <w:p w14:paraId="37DA51FC">
            <w:pPr>
              <w:keepNext w:val="0"/>
              <w:keepLines w:val="0"/>
              <w:widowControl/>
              <w:suppressLineNumbers w:val="0"/>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签到时间</w:t>
            </w:r>
          </w:p>
        </w:tc>
        <w:tc>
          <w:tcPr>
            <w:tcW w:w="2288" w:type="dxa"/>
            <w:tcBorders>
              <w:top w:val="single" w:color="000000" w:sz="4" w:space="0"/>
              <w:left w:val="single" w:color="000000" w:sz="4" w:space="0"/>
              <w:bottom w:val="single" w:color="000000" w:sz="4" w:space="0"/>
              <w:right w:val="single" w:color="000000" w:sz="4" w:space="0"/>
            </w:tcBorders>
            <w:shd w:val="clear"/>
            <w:vAlign w:val="center"/>
          </w:tcPr>
          <w:p w14:paraId="3DD0D6B2">
            <w:pPr>
              <w:keepNext w:val="0"/>
              <w:keepLines w:val="0"/>
              <w:widowControl/>
              <w:suppressLineNumbers w:val="0"/>
              <w:jc w:val="center"/>
              <w:textAlignment w:val="center"/>
              <w:rPr>
                <w:rFonts w:hint="eastAsia" w:ascii="宋体" w:hAnsi="宋体" w:eastAsia="宋体" w:cs="宋体"/>
                <w:b/>
                <w:bCs/>
                <w:i w:val="0"/>
                <w:iCs w:val="0"/>
                <w:color w:val="1A2029"/>
                <w:sz w:val="21"/>
                <w:szCs w:val="21"/>
                <w:u w:val="none"/>
              </w:rPr>
            </w:pPr>
            <w:r>
              <w:rPr>
                <w:rFonts w:hint="eastAsia" w:ascii="宋体" w:hAnsi="宋体" w:eastAsia="宋体" w:cs="宋体"/>
                <w:b/>
                <w:bCs/>
                <w:i w:val="0"/>
                <w:iCs w:val="0"/>
                <w:color w:val="1A2029"/>
                <w:kern w:val="0"/>
                <w:sz w:val="21"/>
                <w:szCs w:val="21"/>
                <w:u w:val="none"/>
                <w:bdr w:val="none" w:color="auto" w:sz="0" w:space="0"/>
                <w:lang w:val="en-US" w:eastAsia="zh-CN" w:bidi="ar"/>
                <w14:ligatures w14:val="standardContextual"/>
              </w:rPr>
              <w:t>联系方式</w:t>
            </w:r>
          </w:p>
        </w:tc>
      </w:tr>
      <w:tr w14:paraId="1D9B8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75" w:hRule="atLeast"/>
        </w:trPr>
        <w:tc>
          <w:tcPr>
            <w:tcW w:w="561" w:type="dxa"/>
            <w:tcBorders>
              <w:top w:val="single" w:color="000000" w:sz="4" w:space="0"/>
              <w:left w:val="single" w:color="000000" w:sz="4" w:space="0"/>
              <w:bottom w:val="single" w:color="000000" w:sz="4" w:space="0"/>
              <w:right w:val="single" w:color="000000" w:sz="4" w:space="0"/>
            </w:tcBorders>
            <w:shd w:val="clear"/>
            <w:vAlign w:val="center"/>
          </w:tcPr>
          <w:p w14:paraId="14399A92">
            <w:pPr>
              <w:keepNext w:val="0"/>
              <w:keepLines w:val="0"/>
              <w:widowControl/>
              <w:suppressLineNumbers w:val="0"/>
              <w:jc w:val="center"/>
              <w:textAlignment w:val="center"/>
              <w:rPr>
                <w:rFonts w:hint="eastAsia" w:ascii="宋体" w:hAnsi="宋体" w:eastAsia="宋体" w:cs="宋体"/>
                <w:b/>
                <w:bCs/>
                <w:i w:val="0"/>
                <w:iCs w:val="0"/>
                <w:color w:val="1A2029"/>
                <w:sz w:val="28"/>
                <w:szCs w:val="28"/>
                <w:u w:val="none"/>
              </w:rPr>
            </w:pPr>
            <w:r>
              <w:rPr>
                <w:rFonts w:hint="eastAsia" w:ascii="宋体" w:hAnsi="宋体" w:eastAsia="宋体" w:cs="宋体"/>
                <w:b/>
                <w:bCs/>
                <w:i w:val="0"/>
                <w:iCs w:val="0"/>
                <w:color w:val="1A2029"/>
                <w:kern w:val="0"/>
                <w:sz w:val="28"/>
                <w:szCs w:val="28"/>
                <w:u w:val="none"/>
                <w:bdr w:val="none" w:color="auto" w:sz="0" w:space="0"/>
                <w:lang w:val="en-US" w:eastAsia="zh-CN" w:bidi="ar"/>
                <w14:ligatures w14:val="standardContextual"/>
              </w:rPr>
              <w:t>1</w:t>
            </w:r>
          </w:p>
        </w:tc>
        <w:tc>
          <w:tcPr>
            <w:tcW w:w="3138" w:type="dxa"/>
            <w:tcBorders>
              <w:top w:val="single" w:color="000000" w:sz="4" w:space="0"/>
              <w:left w:val="single" w:color="000000" w:sz="4" w:space="0"/>
              <w:bottom w:val="single" w:color="000000" w:sz="4" w:space="0"/>
              <w:right w:val="single" w:color="000000" w:sz="4" w:space="0"/>
            </w:tcBorders>
            <w:shd w:val="clear"/>
            <w:vAlign w:val="center"/>
          </w:tcPr>
          <w:p w14:paraId="4E1BFEAD">
            <w:pPr>
              <w:jc w:val="left"/>
              <w:rPr>
                <w:rFonts w:hint="eastAsia" w:ascii="宋体" w:hAnsi="宋体" w:eastAsia="宋体" w:cs="宋体"/>
                <w:b/>
                <w:bCs/>
                <w:i w:val="0"/>
                <w:iCs w:val="0"/>
                <w:color w:val="1A2029"/>
                <w:sz w:val="28"/>
                <w:szCs w:val="28"/>
                <w:u w:val="none"/>
              </w:rPr>
            </w:pPr>
          </w:p>
        </w:tc>
        <w:tc>
          <w:tcPr>
            <w:tcW w:w="1362" w:type="dxa"/>
            <w:tcBorders>
              <w:top w:val="single" w:color="000000" w:sz="4" w:space="0"/>
              <w:left w:val="single" w:color="000000" w:sz="4" w:space="0"/>
              <w:bottom w:val="single" w:color="000000" w:sz="4" w:space="0"/>
              <w:right w:val="single" w:color="000000" w:sz="4" w:space="0"/>
            </w:tcBorders>
            <w:shd w:val="clear"/>
            <w:vAlign w:val="center"/>
          </w:tcPr>
          <w:p w14:paraId="2B749646">
            <w:pPr>
              <w:jc w:val="left"/>
              <w:rPr>
                <w:rFonts w:hint="eastAsia" w:ascii="宋体" w:hAnsi="宋体" w:eastAsia="宋体" w:cs="宋体"/>
                <w:b/>
                <w:bCs/>
                <w:i w:val="0"/>
                <w:iCs w:val="0"/>
                <w:color w:val="1A2029"/>
                <w:sz w:val="28"/>
                <w:szCs w:val="28"/>
                <w:u w:val="none"/>
              </w:rPr>
            </w:pPr>
          </w:p>
        </w:tc>
        <w:tc>
          <w:tcPr>
            <w:tcW w:w="1250" w:type="dxa"/>
            <w:tcBorders>
              <w:top w:val="single" w:color="000000" w:sz="4" w:space="0"/>
              <w:left w:val="single" w:color="000000" w:sz="4" w:space="0"/>
              <w:bottom w:val="single" w:color="000000" w:sz="4" w:space="0"/>
              <w:right w:val="single" w:color="000000" w:sz="4" w:space="0"/>
            </w:tcBorders>
            <w:shd w:val="clear"/>
            <w:vAlign w:val="center"/>
          </w:tcPr>
          <w:p w14:paraId="76F854D5">
            <w:pPr>
              <w:jc w:val="left"/>
              <w:rPr>
                <w:rFonts w:hint="eastAsia" w:ascii="宋体" w:hAnsi="宋体" w:eastAsia="宋体" w:cs="宋体"/>
                <w:b/>
                <w:bCs/>
                <w:i w:val="0"/>
                <w:iCs w:val="0"/>
                <w:color w:val="1A2029"/>
                <w:sz w:val="28"/>
                <w:szCs w:val="28"/>
                <w:u w:val="none"/>
              </w:rPr>
            </w:pPr>
          </w:p>
        </w:tc>
        <w:tc>
          <w:tcPr>
            <w:tcW w:w="2288" w:type="dxa"/>
            <w:tcBorders>
              <w:top w:val="single" w:color="000000" w:sz="4" w:space="0"/>
              <w:left w:val="single" w:color="000000" w:sz="4" w:space="0"/>
              <w:bottom w:val="single" w:color="000000" w:sz="4" w:space="0"/>
              <w:right w:val="single" w:color="000000" w:sz="4" w:space="0"/>
            </w:tcBorders>
            <w:shd w:val="clear"/>
            <w:vAlign w:val="center"/>
          </w:tcPr>
          <w:p w14:paraId="5BE389FC">
            <w:pPr>
              <w:jc w:val="left"/>
              <w:rPr>
                <w:rFonts w:hint="eastAsia" w:ascii="宋体" w:hAnsi="宋体" w:eastAsia="宋体" w:cs="宋体"/>
                <w:b/>
                <w:bCs/>
                <w:i w:val="0"/>
                <w:iCs w:val="0"/>
                <w:color w:val="1A2029"/>
                <w:sz w:val="28"/>
                <w:szCs w:val="28"/>
                <w:u w:val="none"/>
              </w:rPr>
            </w:pPr>
          </w:p>
        </w:tc>
      </w:tr>
      <w:tr w14:paraId="2784C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20" w:hRule="atLeast"/>
        </w:trPr>
        <w:tc>
          <w:tcPr>
            <w:tcW w:w="561" w:type="dxa"/>
            <w:tcBorders>
              <w:top w:val="single" w:color="000000" w:sz="4" w:space="0"/>
              <w:left w:val="single" w:color="000000" w:sz="4" w:space="0"/>
              <w:bottom w:val="single" w:color="000000" w:sz="4" w:space="0"/>
              <w:right w:val="single" w:color="000000" w:sz="4" w:space="0"/>
            </w:tcBorders>
            <w:shd w:val="clear"/>
            <w:vAlign w:val="center"/>
          </w:tcPr>
          <w:p w14:paraId="6CCCD14B">
            <w:pPr>
              <w:keepNext w:val="0"/>
              <w:keepLines w:val="0"/>
              <w:widowControl/>
              <w:suppressLineNumbers w:val="0"/>
              <w:jc w:val="center"/>
              <w:textAlignment w:val="center"/>
              <w:rPr>
                <w:rFonts w:hint="eastAsia" w:ascii="宋体" w:hAnsi="宋体" w:eastAsia="宋体" w:cs="宋体"/>
                <w:b/>
                <w:bCs/>
                <w:i w:val="0"/>
                <w:iCs w:val="0"/>
                <w:color w:val="1A2029"/>
                <w:sz w:val="28"/>
                <w:szCs w:val="28"/>
                <w:u w:val="none"/>
              </w:rPr>
            </w:pPr>
            <w:r>
              <w:rPr>
                <w:rFonts w:hint="eastAsia" w:ascii="宋体" w:hAnsi="宋体" w:eastAsia="宋体" w:cs="宋体"/>
                <w:b/>
                <w:bCs/>
                <w:i w:val="0"/>
                <w:iCs w:val="0"/>
                <w:color w:val="1A2029"/>
                <w:kern w:val="0"/>
                <w:sz w:val="28"/>
                <w:szCs w:val="28"/>
                <w:u w:val="none"/>
                <w:bdr w:val="none" w:color="auto" w:sz="0" w:space="0"/>
                <w:lang w:val="en-US" w:eastAsia="zh-CN" w:bidi="ar"/>
                <w14:ligatures w14:val="standardContextual"/>
              </w:rPr>
              <w:t>2</w:t>
            </w:r>
          </w:p>
        </w:tc>
        <w:tc>
          <w:tcPr>
            <w:tcW w:w="3138" w:type="dxa"/>
            <w:tcBorders>
              <w:top w:val="single" w:color="000000" w:sz="4" w:space="0"/>
              <w:left w:val="single" w:color="000000" w:sz="4" w:space="0"/>
              <w:bottom w:val="single" w:color="000000" w:sz="4" w:space="0"/>
              <w:right w:val="single" w:color="000000" w:sz="4" w:space="0"/>
            </w:tcBorders>
            <w:shd w:val="clear"/>
            <w:vAlign w:val="center"/>
          </w:tcPr>
          <w:p w14:paraId="08200557">
            <w:pPr>
              <w:jc w:val="left"/>
              <w:rPr>
                <w:rFonts w:hint="eastAsia" w:ascii="宋体" w:hAnsi="宋体" w:eastAsia="宋体" w:cs="宋体"/>
                <w:b/>
                <w:bCs/>
                <w:i w:val="0"/>
                <w:iCs w:val="0"/>
                <w:color w:val="1A2029"/>
                <w:sz w:val="28"/>
                <w:szCs w:val="28"/>
                <w:u w:val="none"/>
              </w:rPr>
            </w:pPr>
          </w:p>
        </w:tc>
        <w:tc>
          <w:tcPr>
            <w:tcW w:w="1362" w:type="dxa"/>
            <w:tcBorders>
              <w:top w:val="single" w:color="000000" w:sz="4" w:space="0"/>
              <w:left w:val="single" w:color="000000" w:sz="4" w:space="0"/>
              <w:bottom w:val="single" w:color="000000" w:sz="4" w:space="0"/>
              <w:right w:val="single" w:color="000000" w:sz="4" w:space="0"/>
            </w:tcBorders>
            <w:shd w:val="clear"/>
            <w:vAlign w:val="center"/>
          </w:tcPr>
          <w:p w14:paraId="2B942656">
            <w:pPr>
              <w:jc w:val="left"/>
              <w:rPr>
                <w:rFonts w:hint="eastAsia" w:ascii="宋体" w:hAnsi="宋体" w:eastAsia="宋体" w:cs="宋体"/>
                <w:b/>
                <w:bCs/>
                <w:i w:val="0"/>
                <w:iCs w:val="0"/>
                <w:color w:val="1A2029"/>
                <w:sz w:val="28"/>
                <w:szCs w:val="28"/>
                <w:u w:val="none"/>
              </w:rPr>
            </w:pPr>
          </w:p>
        </w:tc>
        <w:tc>
          <w:tcPr>
            <w:tcW w:w="1250" w:type="dxa"/>
            <w:tcBorders>
              <w:top w:val="single" w:color="000000" w:sz="4" w:space="0"/>
              <w:left w:val="single" w:color="000000" w:sz="4" w:space="0"/>
              <w:bottom w:val="single" w:color="000000" w:sz="4" w:space="0"/>
              <w:right w:val="single" w:color="000000" w:sz="4" w:space="0"/>
            </w:tcBorders>
            <w:shd w:val="clear"/>
            <w:vAlign w:val="center"/>
          </w:tcPr>
          <w:p w14:paraId="4971B46B">
            <w:pPr>
              <w:jc w:val="left"/>
              <w:rPr>
                <w:rFonts w:hint="eastAsia" w:ascii="宋体" w:hAnsi="宋体" w:eastAsia="宋体" w:cs="宋体"/>
                <w:b/>
                <w:bCs/>
                <w:i w:val="0"/>
                <w:iCs w:val="0"/>
                <w:color w:val="1A2029"/>
                <w:sz w:val="28"/>
                <w:szCs w:val="28"/>
                <w:u w:val="none"/>
              </w:rPr>
            </w:pPr>
          </w:p>
        </w:tc>
        <w:tc>
          <w:tcPr>
            <w:tcW w:w="2288" w:type="dxa"/>
            <w:tcBorders>
              <w:top w:val="single" w:color="000000" w:sz="4" w:space="0"/>
              <w:left w:val="single" w:color="000000" w:sz="4" w:space="0"/>
              <w:bottom w:val="single" w:color="000000" w:sz="4" w:space="0"/>
              <w:right w:val="single" w:color="000000" w:sz="4" w:space="0"/>
            </w:tcBorders>
            <w:shd w:val="clear"/>
            <w:vAlign w:val="center"/>
          </w:tcPr>
          <w:p w14:paraId="423FB8ED">
            <w:pPr>
              <w:jc w:val="left"/>
              <w:rPr>
                <w:rFonts w:hint="eastAsia" w:ascii="宋体" w:hAnsi="宋体" w:eastAsia="宋体" w:cs="宋体"/>
                <w:b/>
                <w:bCs/>
                <w:i w:val="0"/>
                <w:iCs w:val="0"/>
                <w:color w:val="1A2029"/>
                <w:sz w:val="28"/>
                <w:szCs w:val="28"/>
                <w:u w:val="none"/>
              </w:rPr>
            </w:pPr>
          </w:p>
        </w:tc>
      </w:tr>
      <w:tr w14:paraId="1BDF8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65" w:hRule="atLeast"/>
        </w:trPr>
        <w:tc>
          <w:tcPr>
            <w:tcW w:w="561" w:type="dxa"/>
            <w:tcBorders>
              <w:top w:val="single" w:color="000000" w:sz="4" w:space="0"/>
              <w:left w:val="single" w:color="000000" w:sz="4" w:space="0"/>
              <w:bottom w:val="single" w:color="000000" w:sz="4" w:space="0"/>
              <w:right w:val="single" w:color="000000" w:sz="4" w:space="0"/>
            </w:tcBorders>
            <w:shd w:val="clear"/>
            <w:vAlign w:val="center"/>
          </w:tcPr>
          <w:p w14:paraId="2650F531">
            <w:pPr>
              <w:keepNext w:val="0"/>
              <w:keepLines w:val="0"/>
              <w:widowControl/>
              <w:suppressLineNumbers w:val="0"/>
              <w:jc w:val="center"/>
              <w:textAlignment w:val="center"/>
              <w:rPr>
                <w:rFonts w:hint="eastAsia" w:ascii="宋体" w:hAnsi="宋体" w:eastAsia="宋体" w:cs="宋体"/>
                <w:b/>
                <w:bCs/>
                <w:i w:val="0"/>
                <w:iCs w:val="0"/>
                <w:color w:val="1A2029"/>
                <w:sz w:val="28"/>
                <w:szCs w:val="28"/>
                <w:u w:val="none"/>
              </w:rPr>
            </w:pPr>
            <w:r>
              <w:rPr>
                <w:rFonts w:hint="eastAsia" w:ascii="宋体" w:hAnsi="宋体" w:eastAsia="宋体" w:cs="宋体"/>
                <w:b/>
                <w:bCs/>
                <w:i w:val="0"/>
                <w:iCs w:val="0"/>
                <w:color w:val="1A2029"/>
                <w:kern w:val="0"/>
                <w:sz w:val="28"/>
                <w:szCs w:val="28"/>
                <w:u w:val="none"/>
                <w:bdr w:val="none" w:color="auto" w:sz="0" w:space="0"/>
                <w:lang w:val="en-US" w:eastAsia="zh-CN" w:bidi="ar"/>
                <w14:ligatures w14:val="standardContextual"/>
              </w:rPr>
              <w:t>3</w:t>
            </w:r>
          </w:p>
        </w:tc>
        <w:tc>
          <w:tcPr>
            <w:tcW w:w="3138" w:type="dxa"/>
            <w:tcBorders>
              <w:top w:val="single" w:color="000000" w:sz="4" w:space="0"/>
              <w:left w:val="single" w:color="000000" w:sz="4" w:space="0"/>
              <w:bottom w:val="single" w:color="000000" w:sz="4" w:space="0"/>
              <w:right w:val="single" w:color="000000" w:sz="4" w:space="0"/>
            </w:tcBorders>
            <w:shd w:val="clear"/>
            <w:vAlign w:val="center"/>
          </w:tcPr>
          <w:p w14:paraId="04A9EE1A">
            <w:pPr>
              <w:jc w:val="left"/>
              <w:rPr>
                <w:rFonts w:hint="eastAsia" w:ascii="宋体" w:hAnsi="宋体" w:eastAsia="宋体" w:cs="宋体"/>
                <w:b/>
                <w:bCs/>
                <w:i w:val="0"/>
                <w:iCs w:val="0"/>
                <w:color w:val="1A2029"/>
                <w:sz w:val="28"/>
                <w:szCs w:val="28"/>
                <w:u w:val="none"/>
              </w:rPr>
            </w:pPr>
          </w:p>
        </w:tc>
        <w:tc>
          <w:tcPr>
            <w:tcW w:w="1362" w:type="dxa"/>
            <w:tcBorders>
              <w:top w:val="single" w:color="000000" w:sz="4" w:space="0"/>
              <w:left w:val="single" w:color="000000" w:sz="4" w:space="0"/>
              <w:bottom w:val="single" w:color="000000" w:sz="4" w:space="0"/>
              <w:right w:val="single" w:color="000000" w:sz="4" w:space="0"/>
            </w:tcBorders>
            <w:shd w:val="clear"/>
            <w:vAlign w:val="center"/>
          </w:tcPr>
          <w:p w14:paraId="6C643A30">
            <w:pPr>
              <w:jc w:val="left"/>
              <w:rPr>
                <w:rFonts w:hint="eastAsia" w:ascii="宋体" w:hAnsi="宋体" w:eastAsia="宋体" w:cs="宋体"/>
                <w:b/>
                <w:bCs/>
                <w:i w:val="0"/>
                <w:iCs w:val="0"/>
                <w:color w:val="1A2029"/>
                <w:sz w:val="28"/>
                <w:szCs w:val="28"/>
                <w:u w:val="none"/>
              </w:rPr>
            </w:pPr>
          </w:p>
        </w:tc>
        <w:tc>
          <w:tcPr>
            <w:tcW w:w="1250" w:type="dxa"/>
            <w:tcBorders>
              <w:top w:val="single" w:color="000000" w:sz="4" w:space="0"/>
              <w:left w:val="single" w:color="000000" w:sz="4" w:space="0"/>
              <w:bottom w:val="single" w:color="000000" w:sz="4" w:space="0"/>
              <w:right w:val="single" w:color="000000" w:sz="4" w:space="0"/>
            </w:tcBorders>
            <w:shd w:val="clear"/>
            <w:vAlign w:val="center"/>
          </w:tcPr>
          <w:p w14:paraId="39D5A17E">
            <w:pPr>
              <w:jc w:val="left"/>
              <w:rPr>
                <w:rFonts w:hint="eastAsia" w:ascii="宋体" w:hAnsi="宋体" w:eastAsia="宋体" w:cs="宋体"/>
                <w:b/>
                <w:bCs/>
                <w:i w:val="0"/>
                <w:iCs w:val="0"/>
                <w:color w:val="1A2029"/>
                <w:sz w:val="28"/>
                <w:szCs w:val="28"/>
                <w:u w:val="none"/>
              </w:rPr>
            </w:pPr>
          </w:p>
        </w:tc>
        <w:tc>
          <w:tcPr>
            <w:tcW w:w="2288" w:type="dxa"/>
            <w:tcBorders>
              <w:top w:val="single" w:color="000000" w:sz="4" w:space="0"/>
              <w:left w:val="single" w:color="000000" w:sz="4" w:space="0"/>
              <w:bottom w:val="single" w:color="000000" w:sz="4" w:space="0"/>
              <w:right w:val="single" w:color="000000" w:sz="4" w:space="0"/>
            </w:tcBorders>
            <w:shd w:val="clear"/>
            <w:vAlign w:val="center"/>
          </w:tcPr>
          <w:p w14:paraId="6AA158C1">
            <w:pPr>
              <w:jc w:val="left"/>
              <w:rPr>
                <w:rFonts w:hint="eastAsia" w:ascii="宋体" w:hAnsi="宋体" w:eastAsia="宋体" w:cs="宋体"/>
                <w:b/>
                <w:bCs/>
                <w:i w:val="0"/>
                <w:iCs w:val="0"/>
                <w:color w:val="1A2029"/>
                <w:sz w:val="28"/>
                <w:szCs w:val="28"/>
                <w:u w:val="none"/>
              </w:rPr>
            </w:pPr>
          </w:p>
        </w:tc>
      </w:tr>
      <w:tr w14:paraId="5E240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561" w:type="dxa"/>
            <w:tcBorders>
              <w:top w:val="single" w:color="000000" w:sz="4" w:space="0"/>
              <w:left w:val="single" w:color="000000" w:sz="4" w:space="0"/>
              <w:bottom w:val="single" w:color="000000" w:sz="4" w:space="0"/>
              <w:right w:val="single" w:color="000000" w:sz="4" w:space="0"/>
            </w:tcBorders>
            <w:shd w:val="clear"/>
            <w:vAlign w:val="center"/>
          </w:tcPr>
          <w:p w14:paraId="5D4E08B6">
            <w:pPr>
              <w:keepNext w:val="0"/>
              <w:keepLines w:val="0"/>
              <w:widowControl/>
              <w:suppressLineNumbers w:val="0"/>
              <w:jc w:val="center"/>
              <w:textAlignment w:val="center"/>
              <w:rPr>
                <w:rFonts w:hint="eastAsia" w:ascii="宋体" w:hAnsi="宋体" w:eastAsia="宋体" w:cs="宋体"/>
                <w:b/>
                <w:bCs/>
                <w:i w:val="0"/>
                <w:iCs w:val="0"/>
                <w:color w:val="1A2029"/>
                <w:sz w:val="28"/>
                <w:szCs w:val="28"/>
                <w:u w:val="none"/>
              </w:rPr>
            </w:pPr>
            <w:r>
              <w:rPr>
                <w:rFonts w:hint="eastAsia" w:ascii="宋体" w:hAnsi="宋体" w:eastAsia="宋体" w:cs="宋体"/>
                <w:b/>
                <w:bCs/>
                <w:i w:val="0"/>
                <w:iCs w:val="0"/>
                <w:color w:val="1A2029"/>
                <w:kern w:val="0"/>
                <w:sz w:val="28"/>
                <w:szCs w:val="28"/>
                <w:u w:val="none"/>
                <w:bdr w:val="none" w:color="auto" w:sz="0" w:space="0"/>
                <w:lang w:val="en-US" w:eastAsia="zh-CN" w:bidi="ar"/>
                <w14:ligatures w14:val="standardContextual"/>
              </w:rPr>
              <w:t>4</w:t>
            </w:r>
          </w:p>
        </w:tc>
        <w:tc>
          <w:tcPr>
            <w:tcW w:w="3138" w:type="dxa"/>
            <w:tcBorders>
              <w:top w:val="single" w:color="000000" w:sz="4" w:space="0"/>
              <w:left w:val="single" w:color="000000" w:sz="4" w:space="0"/>
              <w:bottom w:val="single" w:color="000000" w:sz="4" w:space="0"/>
              <w:right w:val="single" w:color="000000" w:sz="4" w:space="0"/>
            </w:tcBorders>
            <w:shd w:val="clear"/>
            <w:vAlign w:val="center"/>
          </w:tcPr>
          <w:p w14:paraId="33037540">
            <w:pPr>
              <w:jc w:val="left"/>
              <w:rPr>
                <w:rFonts w:hint="eastAsia" w:ascii="宋体" w:hAnsi="宋体" w:eastAsia="宋体" w:cs="宋体"/>
                <w:b/>
                <w:bCs/>
                <w:i w:val="0"/>
                <w:iCs w:val="0"/>
                <w:color w:val="1A2029"/>
                <w:sz w:val="28"/>
                <w:szCs w:val="28"/>
                <w:u w:val="none"/>
              </w:rPr>
            </w:pPr>
          </w:p>
        </w:tc>
        <w:tc>
          <w:tcPr>
            <w:tcW w:w="1362" w:type="dxa"/>
            <w:tcBorders>
              <w:top w:val="single" w:color="000000" w:sz="4" w:space="0"/>
              <w:left w:val="single" w:color="000000" w:sz="4" w:space="0"/>
              <w:bottom w:val="single" w:color="000000" w:sz="4" w:space="0"/>
              <w:right w:val="single" w:color="000000" w:sz="4" w:space="0"/>
            </w:tcBorders>
            <w:shd w:val="clear"/>
            <w:vAlign w:val="center"/>
          </w:tcPr>
          <w:p w14:paraId="7CBCBCCA">
            <w:pPr>
              <w:jc w:val="left"/>
              <w:rPr>
                <w:rFonts w:hint="eastAsia" w:ascii="宋体" w:hAnsi="宋体" w:eastAsia="宋体" w:cs="宋体"/>
                <w:b/>
                <w:bCs/>
                <w:i w:val="0"/>
                <w:iCs w:val="0"/>
                <w:color w:val="1A2029"/>
                <w:sz w:val="28"/>
                <w:szCs w:val="28"/>
                <w:u w:val="none"/>
              </w:rPr>
            </w:pPr>
          </w:p>
        </w:tc>
        <w:tc>
          <w:tcPr>
            <w:tcW w:w="1250" w:type="dxa"/>
            <w:tcBorders>
              <w:top w:val="single" w:color="000000" w:sz="4" w:space="0"/>
              <w:left w:val="single" w:color="000000" w:sz="4" w:space="0"/>
              <w:bottom w:val="single" w:color="000000" w:sz="4" w:space="0"/>
              <w:right w:val="single" w:color="000000" w:sz="4" w:space="0"/>
            </w:tcBorders>
            <w:shd w:val="clear"/>
            <w:vAlign w:val="center"/>
          </w:tcPr>
          <w:p w14:paraId="33785B53">
            <w:pPr>
              <w:jc w:val="left"/>
              <w:rPr>
                <w:rFonts w:hint="eastAsia" w:ascii="宋体" w:hAnsi="宋体" w:eastAsia="宋体" w:cs="宋体"/>
                <w:b/>
                <w:bCs/>
                <w:i w:val="0"/>
                <w:iCs w:val="0"/>
                <w:color w:val="1A2029"/>
                <w:sz w:val="28"/>
                <w:szCs w:val="28"/>
                <w:u w:val="none"/>
              </w:rPr>
            </w:pPr>
          </w:p>
        </w:tc>
        <w:tc>
          <w:tcPr>
            <w:tcW w:w="2288" w:type="dxa"/>
            <w:tcBorders>
              <w:top w:val="single" w:color="000000" w:sz="4" w:space="0"/>
              <w:left w:val="single" w:color="000000" w:sz="4" w:space="0"/>
              <w:bottom w:val="single" w:color="000000" w:sz="4" w:space="0"/>
              <w:right w:val="single" w:color="000000" w:sz="4" w:space="0"/>
            </w:tcBorders>
            <w:shd w:val="clear"/>
            <w:vAlign w:val="center"/>
          </w:tcPr>
          <w:p w14:paraId="6E0DE75F">
            <w:pPr>
              <w:jc w:val="left"/>
              <w:rPr>
                <w:rFonts w:hint="eastAsia" w:ascii="宋体" w:hAnsi="宋体" w:eastAsia="宋体" w:cs="宋体"/>
                <w:b/>
                <w:bCs/>
                <w:i w:val="0"/>
                <w:iCs w:val="0"/>
                <w:color w:val="1A2029"/>
                <w:sz w:val="28"/>
                <w:szCs w:val="28"/>
                <w:u w:val="none"/>
              </w:rPr>
            </w:pPr>
          </w:p>
        </w:tc>
      </w:tr>
      <w:tr w14:paraId="4602A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75" w:hRule="atLeast"/>
        </w:trPr>
        <w:tc>
          <w:tcPr>
            <w:tcW w:w="561" w:type="dxa"/>
            <w:tcBorders>
              <w:top w:val="single" w:color="000000" w:sz="4" w:space="0"/>
              <w:left w:val="single" w:color="000000" w:sz="4" w:space="0"/>
              <w:bottom w:val="single" w:color="000000" w:sz="4" w:space="0"/>
              <w:right w:val="single" w:color="000000" w:sz="4" w:space="0"/>
            </w:tcBorders>
            <w:shd w:val="clear"/>
            <w:vAlign w:val="center"/>
          </w:tcPr>
          <w:p w14:paraId="630FAD40">
            <w:pPr>
              <w:keepNext w:val="0"/>
              <w:keepLines w:val="0"/>
              <w:widowControl/>
              <w:suppressLineNumbers w:val="0"/>
              <w:jc w:val="center"/>
              <w:textAlignment w:val="center"/>
              <w:rPr>
                <w:rFonts w:hint="eastAsia" w:ascii="宋体" w:hAnsi="宋体" w:eastAsia="宋体" w:cs="宋体"/>
                <w:b/>
                <w:bCs/>
                <w:i w:val="0"/>
                <w:iCs w:val="0"/>
                <w:color w:val="1A2029"/>
                <w:sz w:val="28"/>
                <w:szCs w:val="28"/>
                <w:u w:val="none"/>
              </w:rPr>
            </w:pPr>
            <w:r>
              <w:rPr>
                <w:rFonts w:hint="eastAsia" w:ascii="宋体" w:hAnsi="宋体" w:eastAsia="宋体" w:cs="宋体"/>
                <w:b/>
                <w:bCs/>
                <w:i w:val="0"/>
                <w:iCs w:val="0"/>
                <w:color w:val="1A2029"/>
                <w:kern w:val="0"/>
                <w:sz w:val="28"/>
                <w:szCs w:val="28"/>
                <w:u w:val="none"/>
                <w:bdr w:val="none" w:color="auto" w:sz="0" w:space="0"/>
                <w:lang w:val="en-US" w:eastAsia="zh-CN" w:bidi="ar"/>
                <w14:ligatures w14:val="standardContextual"/>
              </w:rPr>
              <w:t>5</w:t>
            </w:r>
          </w:p>
        </w:tc>
        <w:tc>
          <w:tcPr>
            <w:tcW w:w="3138" w:type="dxa"/>
            <w:tcBorders>
              <w:top w:val="single" w:color="000000" w:sz="4" w:space="0"/>
              <w:left w:val="single" w:color="000000" w:sz="4" w:space="0"/>
              <w:bottom w:val="single" w:color="000000" w:sz="4" w:space="0"/>
              <w:right w:val="single" w:color="000000" w:sz="4" w:space="0"/>
            </w:tcBorders>
            <w:shd w:val="clear"/>
            <w:vAlign w:val="center"/>
          </w:tcPr>
          <w:p w14:paraId="7D32EBC9">
            <w:pPr>
              <w:jc w:val="left"/>
              <w:rPr>
                <w:rFonts w:hint="eastAsia" w:ascii="宋体" w:hAnsi="宋体" w:eastAsia="宋体" w:cs="宋体"/>
                <w:b/>
                <w:bCs/>
                <w:i w:val="0"/>
                <w:iCs w:val="0"/>
                <w:color w:val="1A2029"/>
                <w:sz w:val="28"/>
                <w:szCs w:val="28"/>
                <w:u w:val="none"/>
              </w:rPr>
            </w:pPr>
          </w:p>
        </w:tc>
        <w:tc>
          <w:tcPr>
            <w:tcW w:w="1362" w:type="dxa"/>
            <w:tcBorders>
              <w:top w:val="single" w:color="000000" w:sz="4" w:space="0"/>
              <w:left w:val="single" w:color="000000" w:sz="4" w:space="0"/>
              <w:bottom w:val="single" w:color="000000" w:sz="4" w:space="0"/>
              <w:right w:val="single" w:color="000000" w:sz="4" w:space="0"/>
            </w:tcBorders>
            <w:shd w:val="clear"/>
            <w:vAlign w:val="center"/>
          </w:tcPr>
          <w:p w14:paraId="4DC827F8">
            <w:pPr>
              <w:jc w:val="left"/>
              <w:rPr>
                <w:rFonts w:hint="eastAsia" w:ascii="宋体" w:hAnsi="宋体" w:eastAsia="宋体" w:cs="宋体"/>
                <w:b/>
                <w:bCs/>
                <w:i w:val="0"/>
                <w:iCs w:val="0"/>
                <w:color w:val="1A2029"/>
                <w:sz w:val="28"/>
                <w:szCs w:val="28"/>
                <w:u w:val="none"/>
              </w:rPr>
            </w:pPr>
          </w:p>
        </w:tc>
        <w:tc>
          <w:tcPr>
            <w:tcW w:w="1250" w:type="dxa"/>
            <w:tcBorders>
              <w:top w:val="single" w:color="000000" w:sz="4" w:space="0"/>
              <w:left w:val="single" w:color="000000" w:sz="4" w:space="0"/>
              <w:bottom w:val="single" w:color="000000" w:sz="4" w:space="0"/>
              <w:right w:val="single" w:color="000000" w:sz="4" w:space="0"/>
            </w:tcBorders>
            <w:shd w:val="clear"/>
            <w:vAlign w:val="center"/>
          </w:tcPr>
          <w:p w14:paraId="2A6492EC">
            <w:pPr>
              <w:jc w:val="left"/>
              <w:rPr>
                <w:rFonts w:hint="eastAsia" w:ascii="宋体" w:hAnsi="宋体" w:eastAsia="宋体" w:cs="宋体"/>
                <w:b/>
                <w:bCs/>
                <w:i w:val="0"/>
                <w:iCs w:val="0"/>
                <w:color w:val="1A2029"/>
                <w:sz w:val="28"/>
                <w:szCs w:val="28"/>
                <w:u w:val="none"/>
              </w:rPr>
            </w:pPr>
          </w:p>
        </w:tc>
        <w:tc>
          <w:tcPr>
            <w:tcW w:w="2288" w:type="dxa"/>
            <w:tcBorders>
              <w:top w:val="single" w:color="000000" w:sz="4" w:space="0"/>
              <w:left w:val="single" w:color="000000" w:sz="4" w:space="0"/>
              <w:bottom w:val="single" w:color="000000" w:sz="4" w:space="0"/>
              <w:right w:val="single" w:color="000000" w:sz="4" w:space="0"/>
            </w:tcBorders>
            <w:shd w:val="clear"/>
            <w:noWrap/>
            <w:vAlign w:val="center"/>
          </w:tcPr>
          <w:p w14:paraId="0AAABA82">
            <w:pPr>
              <w:rPr>
                <w:rFonts w:hint="eastAsia" w:ascii="宋体" w:hAnsi="宋体" w:eastAsia="宋体" w:cs="宋体"/>
                <w:i w:val="0"/>
                <w:iCs w:val="0"/>
                <w:color w:val="000000"/>
                <w:sz w:val="22"/>
                <w:szCs w:val="22"/>
                <w:u w:val="none"/>
              </w:rPr>
            </w:pPr>
          </w:p>
        </w:tc>
      </w:tr>
    </w:tbl>
    <w:p w14:paraId="3F92E8F4">
      <w:pPr>
        <w:keepNext w:val="0"/>
        <w:keepLines w:val="0"/>
        <w:pageBreakBefore w:val="0"/>
        <w:widowControl/>
        <w:kinsoku/>
        <w:wordWrap/>
        <w:overflowPunct/>
        <w:topLinePunct w:val="0"/>
        <w:autoSpaceDE/>
        <w:autoSpaceDN/>
        <w:bidi w:val="0"/>
        <w:adjustRightInd/>
        <w:snapToGrid/>
        <w:spacing w:after="0" w:line="360" w:lineRule="auto"/>
        <w:textAlignment w:val="baseline"/>
        <w:rPr>
          <w:rFonts w:hint="eastAsia" w:ascii="宋体" w:hAnsi="宋体" w:eastAsia="宋体" w:cs="宋体"/>
          <w:b/>
          <w:bCs/>
          <w:color w:val="1A2029"/>
          <w:kern w:val="0"/>
          <w:sz w:val="28"/>
          <w:szCs w:val="28"/>
          <w14:ligatures w14:val="none"/>
        </w:rPr>
      </w:pPr>
    </w:p>
    <w:p w14:paraId="2FD4BE3E">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r>
        <w:rPr>
          <w:rFonts w:hint="eastAsia" w:ascii="宋体" w:hAnsi="宋体" w:eastAsia="宋体" w:cs="宋体"/>
          <w:b/>
          <w:bCs/>
          <w:color w:val="1A2029"/>
          <w:kern w:val="0"/>
          <w:sz w:val="28"/>
          <w:szCs w:val="28"/>
          <w14:ligatures w14:val="none"/>
        </w:rPr>
        <w:t>备注：签到人员应对其填写的全部信息真实性、准确性负责。</w:t>
      </w:r>
    </w:p>
    <w:p w14:paraId="7DC05A63">
      <w:pPr>
        <w:keepNext w:val="0"/>
        <w:keepLines w:val="0"/>
        <w:pageBreakBefore w:val="0"/>
        <w:widowControl/>
        <w:kinsoku/>
        <w:wordWrap/>
        <w:overflowPunct/>
        <w:topLinePunct w:val="0"/>
        <w:autoSpaceDE/>
        <w:autoSpaceDN/>
        <w:bidi w:val="0"/>
        <w:adjustRightInd/>
        <w:snapToGrid/>
        <w:spacing w:after="0" w:line="360" w:lineRule="auto"/>
        <w:ind w:firstLine="562" w:firstLineChars="200"/>
        <w:textAlignment w:val="baseline"/>
        <w:rPr>
          <w:rFonts w:hint="eastAsia" w:ascii="宋体" w:hAnsi="宋体" w:eastAsia="宋体" w:cs="宋体"/>
          <w:b/>
          <w:bCs/>
          <w:color w:val="1A2029"/>
          <w:kern w:val="0"/>
          <w:sz w:val="28"/>
          <w:szCs w:val="28"/>
          <w14:ligatures w14:val="none"/>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E9B"/>
    <w:rsid w:val="00061658"/>
    <w:rsid w:val="001147A1"/>
    <w:rsid w:val="00163CF0"/>
    <w:rsid w:val="00212BE0"/>
    <w:rsid w:val="005C1177"/>
    <w:rsid w:val="00816E9B"/>
    <w:rsid w:val="00872B1A"/>
    <w:rsid w:val="00917E83"/>
    <w:rsid w:val="00ED5671"/>
    <w:rsid w:val="00F31832"/>
    <w:rsid w:val="00F37017"/>
    <w:rsid w:val="029016FD"/>
    <w:rsid w:val="038D56F4"/>
    <w:rsid w:val="3A384716"/>
    <w:rsid w:val="452D456B"/>
    <w:rsid w:val="491E2FB8"/>
    <w:rsid w:val="5E567D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8"/>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2"/>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3"/>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5">
    <w:name w:val="Default Paragraph Font"/>
    <w:semiHidden/>
    <w:unhideWhenUsed/>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11">
    <w:name w:val="Subtitle"/>
    <w:basedOn w:val="1"/>
    <w:next w:val="1"/>
    <w:link w:val="27"/>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Normal (Web)"/>
    <w:basedOn w:val="1"/>
    <w:semiHidden/>
    <w:unhideWhenUsed/>
    <w:qFormat/>
    <w:uiPriority w:val="99"/>
    <w:pPr>
      <w:widowControl/>
      <w:spacing w:before="100" w:beforeAutospacing="1" w:after="100" w:afterAutospacing="1" w:line="240" w:lineRule="auto"/>
    </w:pPr>
    <w:rPr>
      <w:rFonts w:ascii="宋体" w:hAnsi="宋体" w:eastAsia="宋体" w:cs="宋体"/>
      <w:kern w:val="0"/>
      <w:sz w:val="24"/>
      <w14:ligatures w14:val="none"/>
    </w:rPr>
  </w:style>
  <w:style w:type="paragraph" w:styleId="13">
    <w:name w:val="Title"/>
    <w:basedOn w:val="1"/>
    <w:next w:val="1"/>
    <w:link w:val="26"/>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styleId="16">
    <w:name w:val="Strong"/>
    <w:basedOn w:val="15"/>
    <w:qFormat/>
    <w:uiPriority w:val="22"/>
    <w:rPr>
      <w:b/>
      <w:bCs/>
    </w:rPr>
  </w:style>
  <w:style w:type="character" w:customStyle="1" w:styleId="17">
    <w:name w:val="标题 1 字符"/>
    <w:basedOn w:val="15"/>
    <w:link w:val="2"/>
    <w:qFormat/>
    <w:uiPriority w:val="9"/>
    <w:rPr>
      <w:rFonts w:asciiTheme="majorHAnsi" w:hAnsiTheme="majorHAnsi" w:eastAsiaTheme="majorEastAsia" w:cstheme="majorBidi"/>
      <w:color w:val="104862" w:themeColor="accent1" w:themeShade="BF"/>
      <w:sz w:val="48"/>
      <w:szCs w:val="48"/>
    </w:rPr>
  </w:style>
  <w:style w:type="character" w:customStyle="1" w:styleId="18">
    <w:name w:val="标题 2 字符"/>
    <w:basedOn w:val="15"/>
    <w:link w:val="3"/>
    <w:uiPriority w:val="9"/>
    <w:rPr>
      <w:rFonts w:asciiTheme="majorHAnsi" w:hAnsiTheme="majorHAnsi" w:eastAsiaTheme="majorEastAsia" w:cstheme="majorBidi"/>
      <w:color w:val="104862" w:themeColor="accent1" w:themeShade="BF"/>
      <w:sz w:val="40"/>
      <w:szCs w:val="40"/>
    </w:rPr>
  </w:style>
  <w:style w:type="character" w:customStyle="1" w:styleId="19">
    <w:name w:val="标题 3 字符"/>
    <w:basedOn w:val="15"/>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0">
    <w:name w:val="标题 4 字符"/>
    <w:basedOn w:val="15"/>
    <w:link w:val="5"/>
    <w:semiHidden/>
    <w:uiPriority w:val="9"/>
    <w:rPr>
      <w:rFonts w:cstheme="majorBidi"/>
      <w:color w:val="104862" w:themeColor="accent1" w:themeShade="BF"/>
      <w:sz w:val="28"/>
      <w:szCs w:val="28"/>
    </w:rPr>
  </w:style>
  <w:style w:type="character" w:customStyle="1" w:styleId="21">
    <w:name w:val="标题 5 字符"/>
    <w:basedOn w:val="15"/>
    <w:link w:val="6"/>
    <w:semiHidden/>
    <w:qFormat/>
    <w:uiPriority w:val="9"/>
    <w:rPr>
      <w:rFonts w:cstheme="majorBidi"/>
      <w:color w:val="104862" w:themeColor="accent1" w:themeShade="BF"/>
      <w:sz w:val="24"/>
    </w:rPr>
  </w:style>
  <w:style w:type="character" w:customStyle="1" w:styleId="22">
    <w:name w:val="标题 6 字符"/>
    <w:basedOn w:val="15"/>
    <w:link w:val="7"/>
    <w:semiHidden/>
    <w:qFormat/>
    <w:uiPriority w:val="9"/>
    <w:rPr>
      <w:rFonts w:cstheme="majorBidi"/>
      <w:b/>
      <w:bCs/>
      <w:color w:val="104862" w:themeColor="accent1" w:themeShade="BF"/>
    </w:rPr>
  </w:style>
  <w:style w:type="character" w:customStyle="1" w:styleId="23">
    <w:name w:val="标题 7 字符"/>
    <w:basedOn w:val="15"/>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5"/>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5"/>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5"/>
    <w:link w:val="13"/>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5"/>
    <w:link w:val="1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5"/>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5"/>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3">
    <w:name w:val="明显引用 字符"/>
    <w:basedOn w:val="15"/>
    <w:link w:val="32"/>
    <w:uiPriority w:val="30"/>
    <w:rPr>
      <w:i/>
      <w:iCs/>
      <w:color w:val="104862" w:themeColor="accent1" w:themeShade="BF"/>
    </w:rPr>
  </w:style>
  <w:style w:type="character" w:customStyle="1" w:styleId="34">
    <w:name w:val="Intense Reference"/>
    <w:basedOn w:val="15"/>
    <w:qFormat/>
    <w:uiPriority w:val="32"/>
    <w:rPr>
      <w:b/>
      <w:bCs/>
      <w:smallCaps/>
      <w:color w:val="104862" w:themeColor="accent1" w:themeShade="BF"/>
      <w:spacing w:val="5"/>
    </w:rPr>
  </w:style>
  <w:style w:type="character" w:customStyle="1" w:styleId="35">
    <w:name w:val="apple-converted-space"/>
    <w:basedOn w:val="15"/>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19</Pages>
  <Words>5868</Words>
  <Characters>6282</Characters>
  <Lines>47</Lines>
  <Paragraphs>13</Paragraphs>
  <TotalTime>22</TotalTime>
  <ScaleCrop>false</ScaleCrop>
  <LinksUpToDate>false</LinksUpToDate>
  <CharactersWithSpaces>6335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2026-09-10T07:04:00Z</dcterms:created>
  <dc:creator>ronghai xiang</dc:creator>
  <cp:lastModifiedBy>余俊</cp:lastModifiedBy>
  <dcterms:modified xsi:type="dcterms:W3CDTF">2026-09-10T10:15:16Z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eyJoZGlkIjoiMWZlNmJhYjQ2YTcxMmVkOWRlMTk1MDQ1Nzc0NWQ3OTgiLCJ1c2VySWQiOiIyNTk4MTU4MzcifQ==</vt:lpwstr>
  </property>
  <property fmtid="{D5CDD505-2E9C-101B-9397-08002B2CF9AE}" pid="3" name="KSOProductBuildVer">
    <vt:lpwstr>2052-12.1.0.28505</vt:lpwstr>
  </property>
  <property fmtid="{D5CDD505-2E9C-101B-9397-08002B2CF9AE}" pid="4" name="ICV">
    <vt:lpwstr>4F2654CA9F7D4C23B121EB789033EC27_13</vt:lpwstr>
  </property>
</Properties>
</file>